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i/>
          <w:iCs/>
          <w:sz w:val="21"/>
          <w:szCs w:val="21"/>
          <w:u w:val="single"/>
        </w:rPr>
      </w:pPr>
      <w:bookmarkStart w:id="0" w:name="_Toc531428668"/>
    </w:p>
    <w:p>
      <w:pPr>
        <w:pStyle w:val="2"/>
        <w:rPr>
          <w:rFonts w:hint="default" w:ascii="Arial" w:hAnsi="Arial" w:cs="Arial"/>
          <w:i/>
          <w:iCs/>
          <w:sz w:val="21"/>
          <w:szCs w:val="21"/>
          <w:u w:val="single"/>
          <w:lang w:val="el-GR"/>
        </w:rPr>
      </w:pPr>
      <w:r>
        <w:rPr>
          <w:rFonts w:hint="default" w:ascii="Arial" w:hAnsi="Arial" w:cs="Arial"/>
          <w:i/>
          <w:iCs/>
          <w:sz w:val="36"/>
          <w:szCs w:val="36"/>
          <w:u w:val="single"/>
          <w:lang w:val="el-GR"/>
        </w:rPr>
        <w:t>ΝΑΥΛΩΣΕΙΣ  2021</w:t>
      </w:r>
    </w:p>
    <w:p>
      <w:pPr>
        <w:pStyle w:val="2"/>
        <w:rPr>
          <w:rFonts w:hint="default" w:ascii="Arial" w:hAnsi="Arial" w:cs="Arial"/>
          <w:i/>
          <w:iCs/>
          <w:sz w:val="21"/>
          <w:szCs w:val="21"/>
          <w:u w:val="single"/>
          <w:lang w:val="el-GR"/>
        </w:rPr>
      </w:pPr>
      <w:r>
        <w:rPr>
          <w:rFonts w:hint="default" w:ascii="Arial" w:hAnsi="Arial" w:cs="Arial"/>
          <w:i/>
          <w:iCs/>
          <w:sz w:val="21"/>
          <w:szCs w:val="21"/>
          <w:u w:val="single"/>
          <w:lang w:val="el-GR"/>
        </w:rPr>
        <w:t>Ν. Πενθερουδακης</w:t>
      </w:r>
    </w:p>
    <w:p>
      <w:pPr>
        <w:rPr>
          <w:rFonts w:hint="default"/>
          <w:lang w:val="el-GR"/>
        </w:rPr>
      </w:pPr>
      <w:bookmarkStart w:id="3" w:name="_GoBack"/>
      <w:bookmarkEnd w:id="3"/>
    </w:p>
    <w:p>
      <w:pPr>
        <w:pStyle w:val="2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i/>
          <w:iCs/>
          <w:sz w:val="21"/>
          <w:szCs w:val="21"/>
          <w:u w:val="single"/>
        </w:rPr>
        <w:t>QUICK VOYAGE ESTIMATION ON A SPOT VESSEL</w:t>
      </w:r>
      <w:bookmarkEnd w:id="0"/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Despite all above, in today’s daily practice AND ESPECIALLY WHEN A VESSEL IS SPOT, we encounter the problem of comparing two or more proposed orders, different in quantity, stowage factor, loading/discharging rates, port call expenses...                                       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 example, our vessel, a 12,650 toner is open in the Black sea and we are proposed the following two orders both on vessel’s dates. 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First order is for about 12,000 mtons bulk wheat, stowing about 46’, Constanza/Rotterdam, 2000 tons load rate and 4000 tons discharging rate, with Charterers’ ideas of freight Usd 20/mton fiot. 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second order is: 6-7,000 mtons sunflower seeds in bulk stowing 90’, Odessa/London with 1500 tons load rate and 1800 tons discharging rate, with Charterers’ freight ideas Usd 38/mton fiot. </w:t>
      </w:r>
    </w:p>
    <w:p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question is: which one, we as Shipowners, to choose and immediately concentrate on, since (</w:t>
      </w:r>
      <w:r>
        <w:rPr>
          <w:rFonts w:asciiTheme="majorHAnsi" w:hAnsiTheme="majorHAnsi" w:cstheme="majorHAnsi"/>
          <w:i/>
        </w:rPr>
        <w:t>as completely different</w:t>
      </w:r>
      <w:r>
        <w:rPr>
          <w:rFonts w:asciiTheme="majorHAnsi" w:hAnsiTheme="majorHAnsi" w:cstheme="majorHAnsi"/>
        </w:rPr>
        <w:t>) they cannot be directly compared. The comparison can only be obtained after having calculated both orders in order to find what is their respective Time Charter Equivalent (</w:t>
      </w:r>
      <w:r>
        <w:rPr>
          <w:rFonts w:asciiTheme="majorHAnsi" w:hAnsiTheme="majorHAnsi" w:cstheme="majorHAnsi"/>
          <w:i/>
        </w:rPr>
        <w:t>TCE)</w:t>
      </w:r>
      <w:r>
        <w:rPr>
          <w:rFonts w:asciiTheme="majorHAnsi" w:hAnsiTheme="majorHAnsi" w:cstheme="majorHAnsi"/>
        </w:rPr>
        <w:t>, and then compare these two (</w:t>
      </w:r>
      <w:r>
        <w:rPr>
          <w:rFonts w:asciiTheme="majorHAnsi" w:hAnsiTheme="majorHAnsi" w:cstheme="majorHAnsi"/>
          <w:i/>
        </w:rPr>
        <w:t>comparable</w:t>
      </w:r>
      <w:r>
        <w:rPr>
          <w:rFonts w:asciiTheme="majorHAnsi" w:hAnsiTheme="majorHAnsi" w:cstheme="majorHAnsi"/>
        </w:rPr>
        <w:t xml:space="preserve">) figures. It is very important, one to be ready for a quick Voyage Estimation to verify whether the proposed orders are within the scope of interest and which one is preferable.      </w:t>
      </w:r>
    </w:p>
    <w:p>
      <w:pPr>
        <w:spacing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following is a simplified example for an easy calculation:</w:t>
      </w:r>
    </w:p>
    <w:p>
      <w:pPr>
        <w:pStyle w:val="2"/>
        <w:rPr>
          <w:sz w:val="20"/>
          <w:szCs w:val="20"/>
        </w:rPr>
      </w:pPr>
      <w:bookmarkStart w:id="1" w:name="_Toc531428669"/>
      <w:r>
        <w:rPr>
          <w:sz w:val="20"/>
          <w:szCs w:val="20"/>
        </w:rPr>
        <w:t>VOYAGE ESTIMATION TO DEFINE THE T/C EQUIVALENT</w:t>
      </w:r>
      <w:bookmarkEnd w:id="1"/>
    </w:p>
    <w:p>
      <w:pPr>
        <w:shd w:val="clear" w:color="auto" w:fill="F1F1F1" w:themeFill="background1" w:themeFillShade="F2"/>
        <w:rPr>
          <w:sz w:val="20"/>
          <w:szCs w:val="20"/>
        </w:rPr>
      </w:pPr>
      <w:r>
        <w:rPr>
          <w:sz w:val="20"/>
          <w:szCs w:val="20"/>
        </w:rPr>
        <w:t>M/V “BLUE MOON” 12.650 TDW at 8,50 draft, Greek flag, Single/double skin - 3/3 HO/HA Gearless 15000 CBM capacity – Average speed 12.3 knots on daily consumption of 13 tons F.O.+1 ton M.G.O., port consumption 1 Ton M.G.O.</w:t>
      </w:r>
    </w:p>
    <w:p>
      <w:pPr>
        <w:shd w:val="clear" w:color="auto" w:fill="F1F1F1" w:themeFill="background1" w:themeFillShade="F2"/>
        <w:rPr>
          <w:sz w:val="20"/>
          <w:szCs w:val="20"/>
        </w:rPr>
      </w:pPr>
      <w:r>
        <w:rPr>
          <w:sz w:val="20"/>
          <w:szCs w:val="20"/>
        </w:rPr>
        <w:t>The above ship is open SPOT in Casablanca, and we are proposed the following cargo order:</w:t>
      </w:r>
    </w:p>
    <w:p>
      <w:pPr>
        <w:pStyle w:val="5"/>
        <w:numPr>
          <w:ilvl w:val="0"/>
          <w:numId w:val="1"/>
        </w:numPr>
        <w:shd w:val="clear" w:color="auto" w:fill="F1F1F1" w:themeFill="background1" w:themeFillShade="F2"/>
        <w:ind w:left="180" w:hanging="180"/>
        <w:rPr>
          <w:sz w:val="20"/>
          <w:szCs w:val="20"/>
        </w:rPr>
      </w:pPr>
      <w:r>
        <w:rPr>
          <w:sz w:val="20"/>
          <w:szCs w:val="20"/>
        </w:rPr>
        <w:t>12,000 mtons minimum/maximum bulk phosphate.</w:t>
      </w:r>
    </w:p>
    <w:p>
      <w:pPr>
        <w:pStyle w:val="5"/>
        <w:numPr>
          <w:ilvl w:val="0"/>
          <w:numId w:val="1"/>
        </w:numPr>
        <w:shd w:val="clear" w:color="auto" w:fill="F1F1F1" w:themeFill="background1" w:themeFillShade="F2"/>
        <w:ind w:left="180" w:hanging="180"/>
        <w:rPr>
          <w:sz w:val="20"/>
          <w:szCs w:val="20"/>
        </w:rPr>
      </w:pPr>
      <w:r>
        <w:rPr>
          <w:sz w:val="20"/>
          <w:szCs w:val="20"/>
        </w:rPr>
        <w:t>Casablanca/Kavala - No draft restrictions -1 safe berth both ends.</w:t>
      </w:r>
    </w:p>
    <w:p>
      <w:pPr>
        <w:pStyle w:val="5"/>
        <w:numPr>
          <w:ilvl w:val="0"/>
          <w:numId w:val="1"/>
        </w:numPr>
        <w:shd w:val="clear" w:color="auto" w:fill="F1F1F1" w:themeFill="background1" w:themeFillShade="F2"/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 Lay/Can: Vessel’s dates.</w:t>
      </w:r>
    </w:p>
    <w:p>
      <w:pPr>
        <w:pStyle w:val="5"/>
        <w:numPr>
          <w:ilvl w:val="0"/>
          <w:numId w:val="1"/>
        </w:numPr>
        <w:shd w:val="clear" w:color="auto" w:fill="F1F1F1" w:themeFill="background1" w:themeFillShade="F2"/>
        <w:ind w:left="180" w:hanging="180"/>
        <w:rPr>
          <w:sz w:val="20"/>
          <w:szCs w:val="20"/>
        </w:rPr>
      </w:pPr>
      <w:r>
        <w:rPr>
          <w:sz w:val="20"/>
          <w:szCs w:val="20"/>
        </w:rPr>
        <w:t>4000 ts load shinc. / 3000 ts disch satshex-Friday 17:00 / Monday 08:00 not to count eiu. - N.O.R. To be tendered during office hours only.</w:t>
      </w:r>
    </w:p>
    <w:p>
      <w:pPr>
        <w:pStyle w:val="5"/>
        <w:numPr>
          <w:ilvl w:val="0"/>
          <w:numId w:val="1"/>
        </w:numPr>
        <w:shd w:val="clear" w:color="auto" w:fill="F1F1F1" w:themeFill="background1" w:themeFillShade="F2"/>
        <w:ind w:left="180" w:hanging="180"/>
        <w:rPr>
          <w:sz w:val="20"/>
          <w:szCs w:val="20"/>
        </w:rPr>
      </w:pPr>
      <w:r>
        <w:rPr>
          <w:sz w:val="20"/>
          <w:szCs w:val="20"/>
        </w:rPr>
        <w:t xml:space="preserve">Laytime to commence 14:00 if morning NOR – 0800 next working day if NOR afternoon. </w:t>
      </w:r>
    </w:p>
    <w:p>
      <w:pPr>
        <w:pStyle w:val="5"/>
        <w:numPr>
          <w:ilvl w:val="0"/>
          <w:numId w:val="1"/>
        </w:numPr>
        <w:shd w:val="clear" w:color="auto" w:fill="F1F1F1" w:themeFill="background1" w:themeFillShade="F2"/>
        <w:spacing w:after="120"/>
        <w:ind w:left="187" w:hanging="187"/>
        <w:rPr>
          <w:sz w:val="20"/>
          <w:szCs w:val="20"/>
        </w:rPr>
      </w:pPr>
      <w:r>
        <w:rPr>
          <w:sz w:val="20"/>
          <w:szCs w:val="20"/>
        </w:rPr>
        <w:t>Charterers’ Freight idea USD 18,00 /mtn fiot. - Commission 5% total.</w:t>
      </w:r>
    </w:p>
    <w:p>
      <w:pPr>
        <w:pStyle w:val="5"/>
        <w:spacing w:after="120"/>
        <w:ind w:left="187"/>
        <w:rPr>
          <w:sz w:val="20"/>
          <w:szCs w:val="20"/>
        </w:rPr>
      </w:pPr>
    </w:p>
    <w:p>
      <w:pPr>
        <w:pStyle w:val="5"/>
        <w:ind w:left="180" w:hanging="180"/>
        <w:rPr>
          <w:sz w:val="20"/>
          <w:szCs w:val="20"/>
        </w:rPr>
      </w:pPr>
      <w:r>
        <w:rPr>
          <w:b/>
          <w:sz w:val="20"/>
          <w:szCs w:val="20"/>
        </w:rPr>
        <w:t>Required Results</w:t>
      </w:r>
      <w:r>
        <w:rPr>
          <w:sz w:val="20"/>
          <w:szCs w:val="20"/>
        </w:rPr>
        <w:t xml:space="preserve">: </w:t>
      </w:r>
    </w:p>
    <w:p>
      <w:pPr>
        <w:pStyle w:val="5"/>
        <w:ind w:left="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sz w:val="18"/>
          <w:szCs w:val="18"/>
        </w:rPr>
        <w:t>TIME CHARTER EQUIVALENT</w:t>
      </w:r>
      <w:r>
        <w:rPr>
          <w:sz w:val="20"/>
          <w:szCs w:val="20"/>
        </w:rPr>
        <w:t xml:space="preserve"> for the above employment considering also that: </w:t>
      </w:r>
    </w:p>
    <w:p>
      <w:pPr>
        <w:pStyle w:val="5"/>
        <w:numPr>
          <w:ilvl w:val="1"/>
          <w:numId w:val="2"/>
        </w:numPr>
        <w:ind w:left="240" w:hanging="240"/>
        <w:rPr>
          <w:sz w:val="20"/>
          <w:szCs w:val="20"/>
        </w:rPr>
      </w:pPr>
      <w:r>
        <w:rPr>
          <w:sz w:val="20"/>
          <w:szCs w:val="20"/>
        </w:rPr>
        <w:t>Vessel is already in Casablanca- so no ballast. Distance to Kavalla 1,868 miles</w:t>
      </w:r>
    </w:p>
    <w:p>
      <w:pPr>
        <w:pStyle w:val="5"/>
        <w:numPr>
          <w:ilvl w:val="1"/>
          <w:numId w:val="2"/>
        </w:numPr>
        <w:ind w:left="240" w:hanging="240"/>
        <w:rPr>
          <w:sz w:val="20"/>
          <w:szCs w:val="20"/>
        </w:rPr>
      </w:pPr>
      <w:r>
        <w:rPr>
          <w:sz w:val="20"/>
          <w:szCs w:val="20"/>
        </w:rPr>
        <w:t>D/As: load port USD 17,500. - /disch port USD 14,500.-</w:t>
      </w:r>
    </w:p>
    <w:p>
      <w:pPr>
        <w:pStyle w:val="5"/>
        <w:numPr>
          <w:ilvl w:val="1"/>
          <w:numId w:val="2"/>
        </w:numPr>
        <w:ind w:left="240" w:hanging="240"/>
        <w:rPr>
          <w:sz w:val="20"/>
          <w:szCs w:val="20"/>
        </w:rPr>
      </w:pPr>
      <w:r>
        <w:rPr>
          <w:sz w:val="20"/>
          <w:szCs w:val="20"/>
        </w:rPr>
        <w:t>Average Bunker prices: Fuel: USD 450/tn / M.G.O. :USD 750/tn</w:t>
      </w:r>
    </w:p>
    <w:p>
      <w:pPr>
        <w:pStyle w:val="5"/>
        <w:numPr>
          <w:ilvl w:val="1"/>
          <w:numId w:val="2"/>
        </w:numPr>
        <w:ind w:left="240" w:hanging="240"/>
        <w:rPr>
          <w:sz w:val="20"/>
          <w:szCs w:val="20"/>
        </w:rPr>
      </w:pPr>
      <w:r>
        <w:rPr>
          <w:sz w:val="20"/>
          <w:szCs w:val="20"/>
        </w:rPr>
        <w:t>Bunkers on board on commencement of voyage: 160 mts F.O. and 40 mts M.G.O., sufficient to reach the port of discharging.</w:t>
      </w:r>
    </w:p>
    <w:p>
      <w:pPr>
        <w:pStyle w:val="2"/>
        <w:rPr>
          <w:rFonts w:asciiTheme="majorHAnsi" w:hAnsiTheme="majorHAnsi" w:cstheme="majorHAnsi"/>
        </w:rPr>
      </w:pPr>
      <w:bookmarkStart w:id="2" w:name="_Toc531428670"/>
      <w:r>
        <w:rPr>
          <w:rFonts w:asciiTheme="majorHAnsi" w:hAnsiTheme="majorHAnsi" w:cstheme="majorHAnsi"/>
        </w:rPr>
        <w:t>Voyage Estimation Example</w:t>
      </w:r>
      <w:bookmarkEnd w:id="2"/>
    </w:p>
    <w:p>
      <w:pPr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T  I  M  E</w:t>
      </w:r>
    </w:p>
    <w:p>
      <w:pPr>
        <w:pStyle w:val="6"/>
        <w:numPr>
          <w:ilvl w:val="0"/>
          <w:numId w:val="3"/>
        </w:numPr>
        <w:ind w:hanging="74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Steaming 1868 miles/12.3 knots (a) 6.3 days</w:t>
      </w:r>
    </w:p>
    <w:p>
      <w:pPr>
        <w:pStyle w:val="6"/>
        <w:numPr>
          <w:ilvl w:val="0"/>
          <w:numId w:val="3"/>
        </w:numPr>
        <w:ind w:hanging="74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Steaming time margin about 10 % (b)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>0.7 days</w:t>
      </w:r>
    </w:p>
    <w:p>
      <w:pPr>
        <w:pStyle w:val="6"/>
        <w:numPr>
          <w:ilvl w:val="0"/>
          <w:numId w:val="3"/>
        </w:numPr>
        <w:ind w:hanging="74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Total steaming at sea (a)+(b)            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 7 days</w:t>
      </w:r>
    </w:p>
    <w:p>
      <w:pPr>
        <w:pStyle w:val="6"/>
        <w:numPr>
          <w:ilvl w:val="0"/>
          <w:numId w:val="3"/>
        </w:numPr>
        <w:ind w:hanging="74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Loadport time: 12000/4000 =  (c) 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 3 days</w:t>
      </w:r>
    </w:p>
    <w:p>
      <w:pPr>
        <w:pStyle w:val="6"/>
        <w:numPr>
          <w:ilvl w:val="0"/>
          <w:numId w:val="3"/>
        </w:numPr>
        <w:ind w:hanging="74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Dischport time: 12000/3000 =  (d)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 4 days</w:t>
      </w:r>
    </w:p>
    <w:p>
      <w:pPr>
        <w:pStyle w:val="6"/>
        <w:numPr>
          <w:ilvl w:val="0"/>
          <w:numId w:val="3"/>
        </w:numPr>
        <w:ind w:hanging="744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Margin time in Ports:         = (e)   </w:t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 xml:space="preserve"> 6 days</w:t>
      </w:r>
    </w:p>
    <w:p>
      <w:pPr>
        <w:pStyle w:val="6"/>
        <w:ind w:left="720"/>
        <w:rPr>
          <w:rFonts w:asciiTheme="majorHAnsi" w:hAnsiTheme="majorHAnsi" w:cstheme="majorHAnsi"/>
          <w:sz w:val="20"/>
          <w:szCs w:val="20"/>
        </w:rPr>
      </w:pPr>
    </w:p>
    <w:p>
      <w:pPr>
        <w:pStyle w:val="6"/>
        <w:numPr>
          <w:ilvl w:val="0"/>
          <w:numId w:val="3"/>
        </w:numPr>
        <w:ind w:hanging="744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 xml:space="preserve">Total Port Days      (c)+(d)+(e)       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 xml:space="preserve">  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>=13 days</w:t>
      </w:r>
    </w:p>
    <w:p>
      <w:pPr>
        <w:pStyle w:val="6"/>
        <w:ind w:left="720"/>
        <w:rPr>
          <w:rFonts w:asciiTheme="majorHAnsi" w:hAnsiTheme="majorHAnsi" w:cstheme="majorHAnsi"/>
          <w:sz w:val="20"/>
          <w:szCs w:val="20"/>
        </w:rPr>
      </w:pPr>
    </w:p>
    <w:p>
      <w:pPr>
        <w:pStyle w:val="6"/>
        <w:numPr>
          <w:ilvl w:val="0"/>
          <w:numId w:val="3"/>
        </w:numPr>
        <w:ind w:hanging="744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Duration of the voyage (a)+(b)+(c)+(d)+(e) = 20 days</w:t>
      </w:r>
    </w:p>
    <w:p>
      <w:pPr>
        <w:pStyle w:val="6"/>
        <w:ind w:left="90"/>
        <w:rPr>
          <w:rFonts w:asciiTheme="majorHAnsi" w:hAnsiTheme="majorHAnsi" w:cstheme="majorHAnsi"/>
          <w:b/>
          <w:sz w:val="20"/>
          <w:szCs w:val="20"/>
        </w:rPr>
      </w:pPr>
    </w:p>
    <w:p>
      <w:pPr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E  X  P  E  N  S  E  S</w:t>
      </w:r>
    </w:p>
    <w:p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 Bunkers consumed: </w:t>
      </w:r>
    </w:p>
    <w:p>
      <w:pPr>
        <w:pStyle w:val="6"/>
        <w:numPr>
          <w:ilvl w:val="0"/>
          <w:numId w:val="4"/>
        </w:numPr>
        <w:tabs>
          <w:tab w:val="left" w:pos="142"/>
          <w:tab w:val="clear" w:pos="90"/>
        </w:tabs>
        <w:ind w:hanging="72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At sea: Fuel 7 days by 13 tons</w:t>
      </w:r>
    </w:p>
    <w:p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By US $  450/ton        (1) ……………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>=   40,950.-</w:t>
      </w:r>
    </w:p>
    <w:p>
      <w:pPr>
        <w:pStyle w:val="6"/>
        <w:numPr>
          <w:ilvl w:val="0"/>
          <w:numId w:val="5"/>
        </w:numPr>
        <w:ind w:left="990" w:hanging="99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At sea and in ports: (MGO)</w:t>
      </w:r>
    </w:p>
    <w:p>
      <w:pPr>
        <w:ind w:left="990" w:hanging="99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20 days by 1 ton by $750/t (2) ………………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>=   15,000. -</w:t>
      </w:r>
    </w:p>
    <w:p>
      <w:pPr>
        <w:ind w:left="990" w:hanging="99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Port Call Expenses</w:t>
      </w:r>
    </w:p>
    <w:p>
      <w:pPr>
        <w:pStyle w:val="6"/>
        <w:numPr>
          <w:ilvl w:val="0"/>
          <w:numId w:val="5"/>
        </w:numPr>
        <w:ind w:left="990" w:hanging="99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D/A Load-port              (3)………………..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>=   17,500. -</w:t>
      </w:r>
    </w:p>
    <w:p>
      <w:pPr>
        <w:pStyle w:val="6"/>
        <w:numPr>
          <w:ilvl w:val="0"/>
          <w:numId w:val="5"/>
        </w:numPr>
        <w:ind w:left="990" w:hanging="99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D/A Disch-port             (4)………………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>=   14,500. -</w:t>
      </w:r>
    </w:p>
    <w:p>
      <w:pPr>
        <w:ind w:left="990" w:hanging="99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Other expenses</w:t>
      </w:r>
    </w:p>
    <w:p>
      <w:pPr>
        <w:pStyle w:val="6"/>
        <w:numPr>
          <w:ilvl w:val="0"/>
          <w:numId w:val="5"/>
        </w:numPr>
        <w:spacing w:after="120"/>
        <w:ind w:left="992" w:hanging="992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Unexpected               (5)…………………    =    3,000. –</w:t>
      </w:r>
    </w:p>
    <w:p>
      <w:pPr>
        <w:pStyle w:val="6"/>
        <w:spacing w:after="120"/>
        <w:ind w:left="992"/>
        <w:rPr>
          <w:rFonts w:ascii="Calibri Light" w:hAnsi="Calibri Light" w:cs="Calibri Light"/>
          <w:sz w:val="20"/>
          <w:szCs w:val="20"/>
        </w:rPr>
      </w:pPr>
    </w:p>
    <w:p>
      <w:pPr>
        <w:pStyle w:val="6"/>
        <w:numPr>
          <w:ilvl w:val="0"/>
          <w:numId w:val="5"/>
        </w:numPr>
        <w:ind w:left="990" w:hanging="990"/>
        <w:rPr>
          <w:rFonts w:ascii="Calibri Light" w:hAnsi="Calibri Light" w:cs="Calibri Light"/>
          <w:b/>
          <w:sz w:val="20"/>
          <w:szCs w:val="20"/>
          <w:u w:val="single"/>
        </w:rPr>
      </w:pPr>
      <w:r>
        <w:rPr>
          <w:rFonts w:ascii="Calibri Light" w:hAnsi="Calibri Light" w:cs="Calibri Light"/>
          <w:b/>
          <w:sz w:val="20"/>
          <w:szCs w:val="20"/>
          <w:u w:val="single"/>
        </w:rPr>
        <w:t>Total</w:t>
      </w:r>
      <w:r>
        <w:rPr>
          <w:rFonts w:ascii="Calibri Light" w:hAnsi="Calibri Light" w:cs="Calibri Light"/>
          <w:b/>
          <w:sz w:val="20"/>
          <w:szCs w:val="20"/>
        </w:rPr>
        <w:t xml:space="preserve"> Voyage expenses (1)+(2)+(3)+(4)+(5)     = US </w:t>
      </w:r>
      <w:r>
        <w:rPr>
          <w:rFonts w:ascii="Calibri Light" w:hAnsi="Calibri Light" w:cs="Calibri Light"/>
          <w:b/>
          <w:sz w:val="20"/>
          <w:szCs w:val="20"/>
          <w:u w:val="single"/>
        </w:rPr>
        <w:t>$ 90,950.-</w:t>
      </w:r>
    </w:p>
    <w:p>
      <w:pPr>
        <w:rPr>
          <w:rFonts w:ascii="Calibri Light" w:hAnsi="Calibri Light" w:cs="Calibri Light"/>
          <w:b/>
          <w:sz w:val="20"/>
          <w:szCs w:val="20"/>
          <w:u w:val="single"/>
        </w:rPr>
      </w:pPr>
    </w:p>
    <w:p>
      <w:pPr>
        <w:ind w:left="990" w:hanging="990"/>
        <w:jc w:val="center"/>
        <w:rPr>
          <w:rFonts w:ascii="Calibri Light" w:hAnsi="Calibri Light" w:cs="Calibri Light"/>
          <w:b/>
          <w:sz w:val="20"/>
          <w:szCs w:val="20"/>
          <w:u w:val="single"/>
        </w:rPr>
      </w:pPr>
      <w:r>
        <w:rPr>
          <w:rFonts w:ascii="Calibri Light" w:hAnsi="Calibri Light" w:cs="Calibri Light"/>
          <w:b/>
          <w:sz w:val="20"/>
          <w:szCs w:val="20"/>
          <w:u w:val="single"/>
        </w:rPr>
        <w:t>I  N  C  O  M  E</w:t>
      </w:r>
    </w:p>
    <w:p>
      <w:pPr>
        <w:pStyle w:val="6"/>
        <w:numPr>
          <w:ilvl w:val="0"/>
          <w:numId w:val="5"/>
        </w:numPr>
        <w:ind w:left="990" w:hanging="99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Freight 12,000t by $ 18/t</w:t>
      </w:r>
    </w:p>
    <w:p>
      <w:pPr>
        <w:ind w:left="990" w:hanging="99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Less 5% commission = Gross voyage income   US </w:t>
      </w:r>
      <w:r>
        <w:rPr>
          <w:rFonts w:ascii="Calibri Light" w:hAnsi="Calibri Light" w:cs="Calibri Light"/>
          <w:sz w:val="20"/>
          <w:szCs w:val="20"/>
          <w:u w:val="single"/>
        </w:rPr>
        <w:t>$ 205,200.-</w:t>
      </w:r>
    </w:p>
    <w:p>
      <w:pPr>
        <w:pStyle w:val="6"/>
        <w:numPr>
          <w:ilvl w:val="0"/>
          <w:numId w:val="5"/>
        </w:numPr>
        <w:ind w:left="990" w:hanging="990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Net Voyage income</w:t>
      </w:r>
      <w:r>
        <w:rPr>
          <w:rFonts w:ascii="Calibri Light" w:hAnsi="Calibri Light" w:cs="Calibri Light"/>
          <w:sz w:val="20"/>
          <w:szCs w:val="20"/>
        </w:rPr>
        <w:t xml:space="preserve"> US $205,200 - $90,950.-    </w:t>
      </w:r>
      <w:r>
        <w:rPr>
          <w:rFonts w:ascii="Calibri Light" w:hAnsi="Calibri Light" w:cs="Calibri Light"/>
          <w:sz w:val="20"/>
          <w:szCs w:val="20"/>
          <w:u w:val="double"/>
        </w:rPr>
        <w:t>US $ 114,250.-</w:t>
      </w:r>
      <w:r>
        <w:rPr>
          <w:rFonts w:ascii="Calibri Light" w:hAnsi="Calibri Light" w:cs="Calibri Light"/>
          <w:sz w:val="20"/>
          <w:szCs w:val="20"/>
        </w:rPr>
        <w:t xml:space="preserve"> </w:t>
      </w:r>
    </w:p>
    <w:p>
      <w:pPr>
        <w:pStyle w:val="6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</w:t>
      </w:r>
    </w:p>
    <w:p>
      <w:pPr>
        <w:pStyle w:val="6"/>
        <w:numPr>
          <w:ilvl w:val="0"/>
          <w:numId w:val="5"/>
        </w:numPr>
        <w:ind w:hanging="74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Net income of US $ 114,250 divided by voyage duration of 20 days =</w:t>
      </w:r>
    </w:p>
    <w:p>
      <w:pPr>
        <w:pStyle w:val="6"/>
        <w:spacing w:after="120"/>
        <w:ind w:left="74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>
      <w:pPr>
        <w:pStyle w:val="6"/>
        <w:spacing w:after="120"/>
        <w:ind w:left="749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b/>
          <w:bdr w:val="single" w:color="auto" w:sz="4" w:space="0"/>
        </w:rPr>
        <w:t>TIME CHARTER EQUIVALENT US $ 5,712.50/per day</w:t>
      </w:r>
      <w:r>
        <w:rPr>
          <w:rFonts w:ascii="Calibri Light" w:hAnsi="Calibri Light" w:cs="Calibri Light"/>
        </w:rPr>
        <w:t xml:space="preserve"> </w:t>
      </w:r>
      <w:r>
        <w:rPr>
          <w:rFonts w:asciiTheme="majorHAnsi" w:hAnsiTheme="majorHAnsi" w:cstheme="majorHAnsi"/>
        </w:rPr>
        <w:t xml:space="preserve">                                    </w:t>
      </w:r>
    </w:p>
    <w:p>
      <w:pPr>
        <w:rPr>
          <w:b/>
        </w:rPr>
      </w:pPr>
      <w:r>
        <w:rPr>
          <w:b/>
        </w:rPr>
        <w:t>Remarks</w:t>
      </w:r>
    </w:p>
    <w:p>
      <w:pPr>
        <w:rPr>
          <w:color w:val="FF0000"/>
          <w:sz w:val="20"/>
          <w:szCs w:val="20"/>
        </w:rPr>
      </w:pPr>
      <w:r>
        <w:rPr>
          <w:sz w:val="20"/>
          <w:szCs w:val="20"/>
        </w:rPr>
        <w:t>1.Margin on steaming time is subject to many factors, such as duration, area of voyage, season (</w:t>
      </w:r>
      <w:r>
        <w:rPr>
          <w:i/>
          <w:sz w:val="20"/>
          <w:szCs w:val="20"/>
        </w:rPr>
        <w:t>winter-summer</w:t>
      </w:r>
      <w:r>
        <w:rPr>
          <w:sz w:val="20"/>
          <w:szCs w:val="20"/>
        </w:rPr>
        <w:t>), prevailing winds/currents etc. (</w:t>
      </w:r>
      <w:r>
        <w:rPr>
          <w:i/>
          <w:sz w:val="20"/>
          <w:szCs w:val="20"/>
        </w:rPr>
        <w:t>for professional “METOCEAN” forecasts and information visit www.tidetech.org</w:t>
      </w:r>
      <w:r>
        <w:rPr>
          <w:sz w:val="20"/>
          <w:szCs w:val="20"/>
        </w:rPr>
        <w:t>)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2.Margin in ports depends on Charter party Laytime clauses, and the prevailing weather conditions, namely:</w:t>
      </w:r>
    </w:p>
    <w:p>
      <w:pPr>
        <w:pStyle w:val="6"/>
        <w:numPr>
          <w:ilvl w:val="0"/>
          <w:numId w:val="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when can Notice of Readiness be tendered after vessel is “arrived”?</w:t>
      </w:r>
    </w:p>
    <w:p>
      <w:pPr>
        <w:pStyle w:val="6"/>
        <w:numPr>
          <w:ilvl w:val="0"/>
          <w:numId w:val="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when time commences counting after a legal N.O.R. is tendered?</w:t>
      </w:r>
    </w:p>
    <w:p>
      <w:pPr>
        <w:pStyle w:val="6"/>
        <w:numPr>
          <w:ilvl w:val="0"/>
          <w:numId w:val="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what periods, beyond weather, are excluded (</w:t>
      </w:r>
      <w:r>
        <w:rPr>
          <w:i/>
          <w:sz w:val="20"/>
          <w:szCs w:val="20"/>
        </w:rPr>
        <w:t>SHINC … SATSHEX...)</w:t>
      </w:r>
    </w:p>
    <w:p>
      <w:pPr>
        <w:pStyle w:val="6"/>
        <w:numPr>
          <w:ilvl w:val="0"/>
          <w:numId w:val="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weather conditions (</w:t>
      </w:r>
      <w:r>
        <w:rPr>
          <w:i/>
          <w:sz w:val="20"/>
          <w:szCs w:val="20"/>
        </w:rPr>
        <w:t>dry, rain, snow, storms...)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3.Beyond “unexpected”, other expenses can be canal transiting fees (</w:t>
      </w:r>
      <w:r>
        <w:rPr>
          <w:i/>
          <w:sz w:val="20"/>
          <w:szCs w:val="20"/>
        </w:rPr>
        <w:t>Suez, Panama...)</w:t>
      </w:r>
      <w:r>
        <w:rPr>
          <w:sz w:val="20"/>
          <w:szCs w:val="20"/>
        </w:rPr>
        <w:t>, extra port call for bunkers supply, extra holds cleaning...</w:t>
      </w:r>
    </w:p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Reverse calculation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Sometimes Charterers are not disclosing their freight ideas by insisting on “Best offers are invited”. In this case the above calculation is modified accordingly, that is: given the Time Charter Rate (target) of the Owner we try to calculate what freight per ton is required, in order to represent the Owners’ target time charter rate.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This means that the hires of the 20 days voyage duration are ADDED to the EXPENSES. So, we have, on the above calculation, Total voyage expenses US $ 90,950. - to which we add the hires US $ 5,712.50 /day by 20 days US $ 114,250. - and we have a grand total of $ 205,200. - which represents the net freight for 12,000 tons or $17.10/ton or if we add the 5% commission of $ 0,90, it comes to $18.- which is the payable freight.  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If the Owner’ target daily hire rate is higher or lower, then the freight of $18.-/ton will increase or decrease respectively.   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Open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05CA7"/>
    <w:multiLevelType w:val="multilevel"/>
    <w:tmpl w:val="03405CA7"/>
    <w:lvl w:ilvl="0" w:tentative="0">
      <w:start w:val="1"/>
      <w:numFmt w:val="bullet"/>
      <w:lvlText w:val=""/>
      <w:lvlJc w:val="left"/>
      <w:pPr>
        <w:ind w:left="660" w:hanging="360"/>
      </w:pPr>
      <w:rPr>
        <w:rFonts w:hint="default" w:ascii="Wingdings" w:hAnsi="Wingdings"/>
        <w:sz w:val="16"/>
        <w:szCs w:val="16"/>
      </w:rPr>
    </w:lvl>
    <w:lvl w:ilvl="1" w:tentative="0">
      <w:start w:val="1"/>
      <w:numFmt w:val="lowerLetter"/>
      <w:lvlText w:val="%2."/>
      <w:lvlJc w:val="left"/>
      <w:pPr>
        <w:ind w:left="1380" w:hanging="360"/>
      </w:pPr>
      <w:rPr>
        <w:rFonts w:hint="default"/>
      </w:rPr>
    </w:lvl>
    <w:lvl w:ilvl="2" w:tentative="0">
      <w:start w:val="2"/>
      <w:numFmt w:val="bullet"/>
      <w:lvlText w:val=""/>
      <w:lvlJc w:val="left"/>
      <w:pPr>
        <w:ind w:left="2070" w:hanging="360"/>
      </w:pPr>
      <w:rPr>
        <w:rFonts w:hint="default" w:ascii="Wingdings" w:hAnsi="Wingdings" w:eastAsia="Lato" w:cs="Times New Roman"/>
      </w:rPr>
    </w:lvl>
    <w:lvl w:ilvl="3" w:tentative="0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abstractNum w:abstractNumId="1">
    <w:nsid w:val="1BF81F3E"/>
    <w:multiLevelType w:val="multilevel"/>
    <w:tmpl w:val="1BF81F3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16"/>
        <w:szCs w:val="1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AB88354"/>
    <w:multiLevelType w:val="singleLevel"/>
    <w:tmpl w:val="5AB8835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16"/>
        <w:szCs w:val="16"/>
      </w:rPr>
    </w:lvl>
  </w:abstractNum>
  <w:abstractNum w:abstractNumId="3">
    <w:nsid w:val="5AB88604"/>
    <w:multiLevelType w:val="singleLevel"/>
    <w:tmpl w:val="5AB8860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16"/>
        <w:szCs w:val="16"/>
      </w:rPr>
    </w:lvl>
  </w:abstractNum>
  <w:abstractNum w:abstractNumId="4">
    <w:nsid w:val="67AD32DF"/>
    <w:multiLevelType w:val="multilevel"/>
    <w:tmpl w:val="67AD32D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  <w:sz w:val="16"/>
        <w:szCs w:val="16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88D0A91"/>
    <w:multiLevelType w:val="multilevel"/>
    <w:tmpl w:val="788D0A91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sz w:val="16"/>
        <w:szCs w:val="1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05615"/>
    <w:rsid w:val="2F105615"/>
    <w:rsid w:val="4851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Book Antiqua" w:hAnsi="Book Antiqua" w:eastAsia="SimSun" w:cs="Times New Roman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spacing w:before="40" w:after="40"/>
      <w:jc w:val="center"/>
      <w:outlineLvl w:val="2"/>
    </w:pPr>
    <w:rPr>
      <w:rFonts w:eastAsia="Open Sans"/>
      <w:b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1"/>
    <w:basedOn w:val="1"/>
    <w:qFormat/>
    <w:uiPriority w:val="34"/>
    <w:pPr>
      <w:ind w:left="720"/>
      <w:contextualSpacing/>
    </w:pPr>
    <w:rPr>
      <w:rFonts w:eastAsia="Times New Roman"/>
    </w:rPr>
  </w:style>
  <w:style w:type="paragraph" w:styleId="6">
    <w:name w:val="List Paragraph"/>
    <w:basedOn w:val="1"/>
    <w:qFormat/>
    <w:uiPriority w:val="34"/>
    <w:pPr>
      <w:tabs>
        <w:tab w:val="left" w:pos="90"/>
        <w:tab w:val="left" w:pos="180"/>
        <w:tab w:val="left" w:pos="360"/>
      </w:tabs>
      <w:contextualSpacing/>
    </w:pPr>
    <w:rPr>
      <w:rFonts w:eastAsia="La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2021-06-18T03:54:00Z</dcterms:created>
  <dc:creator>Nikolaos Pentheroudakis</dc:creator>
  <cp:lastModifiedBy>Nikolaos Pentheroudakis</cp:lastModifiedBy>
  <dcterms:modified xsi:type="dcterms:W3CDTF">2021-06-18T03:58:24Z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