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B31" w:rsidRPr="004843D1" w:rsidRDefault="004843D1">
      <w:pPr>
        <w:rPr>
          <w:b/>
        </w:rPr>
      </w:pPr>
      <w:r>
        <w:t xml:space="preserve">The Sanko Bay  </w:t>
      </w:r>
      <w:hyperlink r:id="rId4" w:history="1">
        <w:r>
          <w:rPr>
            <w:rStyle w:val="Hyperlink"/>
            <w:rFonts w:ascii="Arial" w:hAnsi="Arial" w:cs="Arial"/>
            <w:color w:val="5173BA"/>
            <w:sz w:val="21"/>
            <w:szCs w:val="21"/>
            <w:u w:val="none"/>
            <w:shd w:val="clear" w:color="auto" w:fill="FFFFFF"/>
          </w:rPr>
          <w:t>17</w:t>
        </w:r>
      </w:hyperlink>
      <w:r>
        <w:rPr>
          <w:rFonts w:ascii="Arial" w:hAnsi="Arial" w:cs="Arial"/>
          <w:color w:val="262A2D"/>
          <w:sz w:val="21"/>
          <w:szCs w:val="21"/>
          <w:shd w:val="clear" w:color="auto" w:fill="FFFFFF"/>
        </w:rPr>
        <w:t xml:space="preserve"> SMA 1565 (1981) (Busch, </w:t>
      </w:r>
      <w:proofErr w:type="spellStart"/>
      <w:r>
        <w:rPr>
          <w:rFonts w:ascii="Arial" w:hAnsi="Arial" w:cs="Arial"/>
          <w:color w:val="262A2D"/>
          <w:sz w:val="21"/>
          <w:szCs w:val="21"/>
          <w:shd w:val="clear" w:color="auto" w:fill="FFFFFF"/>
        </w:rPr>
        <w:t>Cederholm</w:t>
      </w:r>
      <w:proofErr w:type="spellEnd"/>
      <w:r>
        <w:rPr>
          <w:rFonts w:ascii="Arial" w:hAnsi="Arial" w:cs="Arial"/>
          <w:color w:val="262A2D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62A2D"/>
          <w:sz w:val="21"/>
          <w:szCs w:val="21"/>
          <w:shd w:val="clear" w:color="auto" w:fill="FFFFFF"/>
        </w:rPr>
        <w:t>Zubrod</w:t>
      </w:r>
      <w:proofErr w:type="spellEnd"/>
      <w:r>
        <w:rPr>
          <w:rFonts w:ascii="Arial" w:hAnsi="Arial" w:cs="Arial"/>
          <w:color w:val="262A2D"/>
          <w:sz w:val="21"/>
          <w:szCs w:val="21"/>
          <w:shd w:val="clear" w:color="auto" w:fill="FFFFFF"/>
        </w:rPr>
        <w:t>).</w:t>
      </w:r>
    </w:p>
    <w:p w:rsidR="004843D1" w:rsidRDefault="004843D1"/>
    <w:p w:rsidR="004843D1" w:rsidRDefault="004843D1">
      <w:pPr>
        <w:rPr>
          <w:rFonts w:ascii="Arial" w:hAnsi="Arial" w:cs="Arial"/>
          <w:color w:val="262A2D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color w:val="262A2D"/>
          <w:sz w:val="21"/>
          <w:szCs w:val="21"/>
          <w:shd w:val="clear" w:color="auto" w:fill="FFFFFF"/>
        </w:rPr>
        <w:t>See also </w:t>
      </w:r>
      <w:r>
        <w:rPr>
          <w:rFonts w:ascii="Arial" w:hAnsi="Arial" w:cs="Arial"/>
          <w:i/>
          <w:iCs/>
          <w:color w:val="262A2D"/>
          <w:sz w:val="21"/>
          <w:szCs w:val="21"/>
          <w:shd w:val="clear" w:color="auto" w:fill="FFFFFF"/>
        </w:rPr>
        <w:t>The </w:t>
      </w:r>
      <w:r>
        <w:rPr>
          <w:rStyle w:val="highlight"/>
          <w:rFonts w:ascii="Arial" w:hAnsi="Arial" w:cs="Arial"/>
          <w:i/>
          <w:iCs/>
          <w:color w:val="FF0000"/>
          <w:sz w:val="21"/>
          <w:szCs w:val="21"/>
          <w:bdr w:val="single" w:sz="6" w:space="0" w:color="FF0000" w:frame="1"/>
          <w:shd w:val="clear" w:color="auto" w:fill="FFFFFF"/>
        </w:rPr>
        <w:t>Sanko</w:t>
      </w:r>
      <w:bookmarkStart w:id="0" w:name="first"/>
      <w:bookmarkEnd w:id="0"/>
      <w:r>
        <w:rPr>
          <w:rFonts w:ascii="Arial" w:hAnsi="Arial" w:cs="Arial"/>
          <w:i/>
          <w:iCs/>
          <w:color w:val="262A2D"/>
          <w:sz w:val="21"/>
          <w:szCs w:val="21"/>
          <w:shd w:val="clear" w:color="auto" w:fill="FFFFFF"/>
        </w:rPr>
        <w:t> </w:t>
      </w:r>
      <w:r>
        <w:rPr>
          <w:rStyle w:val="highlight"/>
          <w:rFonts w:ascii="Arial" w:hAnsi="Arial" w:cs="Arial"/>
          <w:i/>
          <w:iCs/>
          <w:color w:val="FF0000"/>
          <w:sz w:val="21"/>
          <w:szCs w:val="21"/>
          <w:bdr w:val="single" w:sz="6" w:space="0" w:color="FF0000" w:frame="1"/>
          <w:shd w:val="clear" w:color="auto" w:fill="FFFFFF"/>
        </w:rPr>
        <w:t>Bay</w:t>
      </w:r>
      <w:r>
        <w:rPr>
          <w:rFonts w:ascii="Arial" w:hAnsi="Arial" w:cs="Arial"/>
          <w:color w:val="262A2D"/>
          <w:sz w:val="21"/>
          <w:szCs w:val="21"/>
          <w:shd w:val="clear" w:color="auto" w:fill="FFFFFF"/>
        </w:rPr>
        <w:t>,</w:t>
      </w:r>
      <w:bookmarkStart w:id="1" w:name="fnVar_17"/>
      <w:r>
        <w:rPr>
          <w:rFonts w:ascii="Arial" w:hAnsi="Arial" w:cs="Arial"/>
          <w:color w:val="5173BA"/>
          <w:sz w:val="19"/>
          <w:szCs w:val="19"/>
          <w:shd w:val="clear" w:color="auto" w:fill="FFFFFF"/>
          <w:vertAlign w:val="superscript"/>
        </w:rPr>
        <w:t>17</w:t>
      </w:r>
      <w:bookmarkEnd w:id="1"/>
      <w:r>
        <w:rPr>
          <w:rFonts w:ascii="Arial" w:hAnsi="Arial" w:cs="Arial"/>
          <w:color w:val="262A2D"/>
          <w:sz w:val="21"/>
          <w:szCs w:val="21"/>
          <w:shd w:val="clear" w:color="auto" w:fill="FFFFFF"/>
        </w:rPr>
        <w:t> where the majority emphasized that the master had requested additional cargo by VHF radio, that the terminal (“the local representative of charterers and for whose actions [it] is responsible”) had taken a firm position that additional cargo would not be loaded, and that the master’s deadfreight statement was acknowledged by the terminal on departure without reservation.</w:t>
      </w:r>
      <w:proofErr w:type="gramEnd"/>
    </w:p>
    <w:p w:rsidR="00243FE4" w:rsidRDefault="00243FE4">
      <w:pPr>
        <w:rPr>
          <w:rFonts w:ascii="Arial" w:hAnsi="Arial" w:cs="Arial"/>
          <w:color w:val="262A2D"/>
          <w:sz w:val="21"/>
          <w:szCs w:val="21"/>
          <w:shd w:val="clear" w:color="auto" w:fill="FFFFFF"/>
        </w:rPr>
      </w:pPr>
    </w:p>
    <w:p w:rsidR="00243FE4" w:rsidRDefault="00243FE4">
      <w:pPr>
        <w:rPr>
          <w:rFonts w:ascii="Arial" w:hAnsi="Arial" w:cs="Arial"/>
          <w:color w:val="262A2D"/>
          <w:sz w:val="21"/>
          <w:szCs w:val="21"/>
          <w:shd w:val="clear" w:color="auto" w:fill="FFFFFF"/>
        </w:rPr>
      </w:pPr>
    </w:p>
    <w:p w:rsidR="00243FE4" w:rsidRDefault="00243FE4">
      <w:pPr>
        <w:rPr>
          <w:rFonts w:ascii="Arial" w:hAnsi="Arial" w:cs="Arial"/>
          <w:color w:val="262A2D"/>
          <w:sz w:val="21"/>
          <w:szCs w:val="21"/>
          <w:shd w:val="clear" w:color="auto" w:fill="FFFFFF"/>
        </w:rPr>
      </w:pPr>
    </w:p>
    <w:p w:rsidR="00243FE4" w:rsidRDefault="00243FE4">
      <w:pPr>
        <w:rPr>
          <w:rFonts w:ascii="Arial" w:hAnsi="Arial" w:cs="Arial"/>
          <w:color w:val="262A2D"/>
          <w:sz w:val="21"/>
          <w:szCs w:val="21"/>
          <w:shd w:val="clear" w:color="auto" w:fill="FFFFFF"/>
        </w:rPr>
      </w:pPr>
      <w:bookmarkStart w:id="2" w:name="_GoBack"/>
      <w:r>
        <w:rPr>
          <w:rFonts w:ascii="Arial" w:hAnsi="Arial" w:cs="Arial"/>
          <w:color w:val="262A2D"/>
          <w:sz w:val="21"/>
          <w:szCs w:val="21"/>
          <w:shd w:val="clear" w:color="auto" w:fill="FFFFFF"/>
        </w:rPr>
        <w:t xml:space="preserve">Noted Charterers’ response with thanks. </w:t>
      </w:r>
    </w:p>
    <w:p w:rsidR="00670EED" w:rsidRDefault="00243FE4" w:rsidP="00E07021">
      <w:pPr>
        <w:jc w:val="both"/>
        <w:rPr>
          <w:rFonts w:ascii="Arial" w:hAnsi="Arial" w:cs="Arial"/>
          <w:color w:val="262A2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62A2D"/>
          <w:sz w:val="21"/>
          <w:szCs w:val="21"/>
          <w:shd w:val="clear" w:color="auto" w:fill="FFFFFF"/>
        </w:rPr>
        <w:t xml:space="preserve">Whether </w:t>
      </w:r>
      <w:r>
        <w:rPr>
          <w:rFonts w:ascii="Arial" w:hAnsi="Arial" w:cs="Arial"/>
          <w:color w:val="262A2D"/>
          <w:sz w:val="21"/>
          <w:szCs w:val="21"/>
          <w:shd w:val="clear" w:color="auto" w:fill="FFFFFF"/>
        </w:rPr>
        <w:t xml:space="preserve">anchorage </w:t>
      </w:r>
      <w:proofErr w:type="gramStart"/>
      <w:r>
        <w:rPr>
          <w:rFonts w:ascii="Arial" w:hAnsi="Arial" w:cs="Arial"/>
          <w:color w:val="262A2D"/>
          <w:sz w:val="21"/>
          <w:szCs w:val="21"/>
          <w:shd w:val="clear" w:color="auto" w:fill="FFFFFF"/>
        </w:rPr>
        <w:t>is guaranteed</w:t>
      </w:r>
      <w:proofErr w:type="gramEnd"/>
      <w:r>
        <w:rPr>
          <w:rFonts w:ascii="Arial" w:hAnsi="Arial" w:cs="Arial"/>
          <w:color w:val="262A2D"/>
          <w:sz w:val="21"/>
          <w:szCs w:val="21"/>
          <w:shd w:val="clear" w:color="auto" w:fill="FFFFFF"/>
        </w:rPr>
        <w:t xml:space="preserve"> or not makes little difference when Charterers orders deprive Owners from exercising this option.</w:t>
      </w:r>
      <w:r w:rsidR="00670EED">
        <w:rPr>
          <w:rFonts w:ascii="Arial" w:hAnsi="Arial" w:cs="Arial"/>
          <w:color w:val="262A2D"/>
          <w:sz w:val="21"/>
          <w:szCs w:val="21"/>
          <w:shd w:val="clear" w:color="auto" w:fill="FFFFFF"/>
        </w:rPr>
        <w:t xml:space="preserve"> By their orders, given after nominating loadport, Charterers deny Owners right to use the vessel as they see fit - in accordance with the C/P. Further to that, by the same CP that Charterers invoke, </w:t>
      </w:r>
      <w:proofErr w:type="gramStart"/>
      <w:r w:rsidR="00670EED">
        <w:rPr>
          <w:rFonts w:ascii="Arial" w:hAnsi="Arial" w:cs="Arial"/>
          <w:color w:val="262A2D"/>
          <w:sz w:val="21"/>
          <w:szCs w:val="21"/>
          <w:shd w:val="clear" w:color="auto" w:fill="FFFFFF"/>
        </w:rPr>
        <w:t>the costs associated with AWRP are carried by Charterers alone</w:t>
      </w:r>
      <w:proofErr w:type="gramEnd"/>
      <w:r w:rsidR="00670EED">
        <w:rPr>
          <w:rFonts w:ascii="Arial" w:hAnsi="Arial" w:cs="Arial"/>
          <w:color w:val="262A2D"/>
          <w:sz w:val="21"/>
          <w:szCs w:val="21"/>
          <w:shd w:val="clear" w:color="auto" w:fill="FFFFFF"/>
        </w:rPr>
        <w:t xml:space="preserve">. </w:t>
      </w:r>
    </w:p>
    <w:p w:rsidR="00243FE4" w:rsidRDefault="00670EED" w:rsidP="00E07021">
      <w:pPr>
        <w:jc w:val="both"/>
        <w:rPr>
          <w:rFonts w:ascii="Arial" w:hAnsi="Arial" w:cs="Arial"/>
          <w:color w:val="262A2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62A2D"/>
          <w:sz w:val="21"/>
          <w:szCs w:val="21"/>
          <w:shd w:val="clear" w:color="auto" w:fill="FFFFFF"/>
        </w:rPr>
        <w:t>W</w:t>
      </w:r>
      <w:r>
        <w:rPr>
          <w:rFonts w:ascii="Arial" w:hAnsi="Arial" w:cs="Arial"/>
          <w:color w:val="262A2D"/>
          <w:sz w:val="21"/>
          <w:szCs w:val="21"/>
          <w:shd w:val="clear" w:color="auto" w:fill="FFFFFF"/>
        </w:rPr>
        <w:t>hile Owners always operate on the “Safety First” principle, they do respect their counterparty’s commercial decision to remain outside the zone to save AWRP costs</w:t>
      </w:r>
      <w:r>
        <w:rPr>
          <w:rFonts w:ascii="Arial" w:hAnsi="Arial" w:cs="Arial"/>
          <w:color w:val="262A2D"/>
          <w:sz w:val="21"/>
          <w:szCs w:val="21"/>
          <w:shd w:val="clear" w:color="auto" w:fill="FFFFFF"/>
        </w:rPr>
        <w:t>, h</w:t>
      </w:r>
      <w:r w:rsidR="00E07021">
        <w:rPr>
          <w:rFonts w:ascii="Arial" w:hAnsi="Arial" w:cs="Arial"/>
          <w:color w:val="262A2D"/>
          <w:sz w:val="21"/>
          <w:szCs w:val="21"/>
          <w:shd w:val="clear" w:color="auto" w:fill="FFFFFF"/>
        </w:rPr>
        <w:t xml:space="preserve">owever, Charterers do not show the same spirit in equally assisting Owners reducing their costs, as they could have timely and prudently give orders to stay at anchor at a suitable location after passing Bosporus. </w:t>
      </w:r>
      <w:r>
        <w:rPr>
          <w:rFonts w:ascii="Arial" w:hAnsi="Arial" w:cs="Arial"/>
          <w:color w:val="262A2D"/>
          <w:sz w:val="21"/>
          <w:szCs w:val="21"/>
          <w:shd w:val="clear" w:color="auto" w:fill="FFFFFF"/>
        </w:rPr>
        <w:t>Hence this is by far a win lose situation, an one where</w:t>
      </w:r>
      <w:r w:rsidR="004A6530">
        <w:rPr>
          <w:rFonts w:ascii="Arial" w:hAnsi="Arial" w:cs="Arial"/>
          <w:color w:val="262A2D"/>
          <w:sz w:val="21"/>
          <w:szCs w:val="21"/>
          <w:shd w:val="clear" w:color="auto" w:fill="FFFFFF"/>
        </w:rPr>
        <w:t xml:space="preserve"> Charterers may be saving abt $80k a day but are not willing to compensate an additional bunker cost incurring to Owners on the figure of  MT/day.</w:t>
      </w:r>
    </w:p>
    <w:p w:rsidR="004A6530" w:rsidRDefault="004A6530" w:rsidP="00E07021">
      <w:pPr>
        <w:jc w:val="both"/>
      </w:pPr>
      <w:r>
        <w:rPr>
          <w:rFonts w:ascii="Arial" w:hAnsi="Arial" w:cs="Arial"/>
          <w:color w:val="262A2D"/>
          <w:sz w:val="21"/>
          <w:szCs w:val="21"/>
          <w:shd w:val="clear" w:color="auto" w:fill="FFFFFF"/>
        </w:rPr>
        <w:t xml:space="preserve">Charterers </w:t>
      </w:r>
      <w:proofErr w:type="gramStart"/>
      <w:r>
        <w:rPr>
          <w:rFonts w:ascii="Arial" w:hAnsi="Arial" w:cs="Arial"/>
          <w:color w:val="262A2D"/>
          <w:sz w:val="21"/>
          <w:szCs w:val="21"/>
          <w:shd w:val="clear" w:color="auto" w:fill="FFFFFF"/>
        </w:rPr>
        <w:t>are once more cordially invited</w:t>
      </w:r>
      <w:proofErr w:type="gramEnd"/>
      <w:r>
        <w:rPr>
          <w:rFonts w:ascii="Arial" w:hAnsi="Arial" w:cs="Arial"/>
          <w:color w:val="262A2D"/>
          <w:sz w:val="21"/>
          <w:szCs w:val="21"/>
          <w:shd w:val="clear" w:color="auto" w:fill="FFFFFF"/>
        </w:rPr>
        <w:t xml:space="preserve"> to reconsider the matter,</w:t>
      </w:r>
      <w:bookmarkEnd w:id="2"/>
    </w:p>
    <w:sectPr w:rsidR="004A6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D1"/>
    <w:rsid w:val="00243FE4"/>
    <w:rsid w:val="00306804"/>
    <w:rsid w:val="003862FB"/>
    <w:rsid w:val="003F569D"/>
    <w:rsid w:val="004843D1"/>
    <w:rsid w:val="004A6530"/>
    <w:rsid w:val="00670EED"/>
    <w:rsid w:val="008A6BCB"/>
    <w:rsid w:val="00E0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863B5"/>
  <w15:chartTrackingRefBased/>
  <w15:docId w15:val="{CFCFC3AE-BC2A-4A7C-BBBB-029979FD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4843D1"/>
  </w:style>
  <w:style w:type="character" w:styleId="Hyperlink">
    <w:name w:val="Hyperlink"/>
    <w:basedOn w:val="DefaultParagraphFont"/>
    <w:uiPriority w:val="99"/>
    <w:semiHidden/>
    <w:unhideWhenUsed/>
    <w:rsid w:val="00484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Thenamaris (Ships Management) Inc.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Vangelis Kounoupas</dc:creator>
  <cp:keywords/>
  <dc:description/>
  <cp:lastModifiedBy>Vangelis Kounoupas</cp:lastModifiedBy>
  <cp:revision>2</cp:revision>
  <dcterms:created xsi:type="dcterms:W3CDTF">2021-09-17T15:37:00Z</dcterms:created>
  <dcterms:modified xsi:type="dcterms:W3CDTF">2023-05-10T08:51:00Z</dcterms:modified>
</cp:coreProperties>
</file>