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C4B" w:rsidRDefault="00E80C4B" w:rsidP="00CB4FDF">
      <w:pPr>
        <w:spacing w:after="240" w:line="276" w:lineRule="atLeast"/>
        <w:jc w:val="both"/>
        <w:textAlignment w:val="baseline"/>
        <w:outlineLvl w:val="0"/>
        <w:rPr>
          <w:rFonts w:ascii="Arial" w:eastAsia="Times New Roman" w:hAnsi="Arial" w:cs="Arial"/>
          <w:color w:val="000000"/>
          <w:kern w:val="36"/>
          <w:sz w:val="48"/>
          <w:szCs w:val="48"/>
        </w:rPr>
      </w:pPr>
      <w:r>
        <w:rPr>
          <w:rFonts w:ascii="Arial" w:eastAsia="Times New Roman" w:hAnsi="Arial" w:cs="Arial"/>
          <w:color w:val="000000"/>
          <w:kern w:val="36"/>
          <w:sz w:val="48"/>
          <w:szCs w:val="48"/>
        </w:rPr>
        <w:t xml:space="preserve">The Front Commander </w:t>
      </w:r>
    </w:p>
    <w:p w:rsidR="00E80C4B" w:rsidRPr="00E80C4B" w:rsidRDefault="00E80C4B" w:rsidP="00CB4FDF">
      <w:pPr>
        <w:spacing w:after="240" w:line="276" w:lineRule="atLeast"/>
        <w:jc w:val="both"/>
        <w:textAlignment w:val="baseline"/>
        <w:outlineLvl w:val="0"/>
        <w:rPr>
          <w:rFonts w:ascii="Arial" w:eastAsia="Times New Roman" w:hAnsi="Arial" w:cs="Arial"/>
          <w:color w:val="000000"/>
          <w:kern w:val="36"/>
          <w:sz w:val="48"/>
          <w:szCs w:val="48"/>
        </w:rPr>
      </w:pPr>
      <w:r w:rsidRPr="00E80C4B">
        <w:rPr>
          <w:rFonts w:ascii="Arial" w:eastAsia="Times New Roman" w:hAnsi="Arial" w:cs="Arial"/>
          <w:color w:val="000000"/>
          <w:kern w:val="36"/>
          <w:sz w:val="48"/>
          <w:szCs w:val="48"/>
        </w:rPr>
        <w:t>When Does Laytime Commence?</w:t>
      </w:r>
    </w:p>
    <w:p w:rsidR="00E80C4B" w:rsidRPr="00E80C4B" w:rsidRDefault="00E80C4B" w:rsidP="00CB4FDF">
      <w:pPr>
        <w:spacing w:after="0" w:line="240" w:lineRule="auto"/>
        <w:jc w:val="both"/>
        <w:textAlignment w:val="baseline"/>
        <w:rPr>
          <w:rFonts w:ascii="Arial" w:eastAsia="Times New Roman" w:hAnsi="Arial" w:cs="Arial"/>
          <w:color w:val="000000"/>
          <w:sz w:val="24"/>
          <w:szCs w:val="24"/>
        </w:rPr>
      </w:pPr>
      <w:r w:rsidRPr="00E80C4B">
        <w:rPr>
          <w:rFonts w:ascii="Arial" w:eastAsia="Times New Roman" w:hAnsi="Arial" w:cs="Arial"/>
          <w:noProof/>
          <w:color w:val="000000"/>
          <w:sz w:val="24"/>
          <w:szCs w:val="24"/>
        </w:rPr>
        <w:drawing>
          <wp:inline distT="0" distB="0" distL="0" distR="0">
            <wp:extent cx="1905000" cy="1905000"/>
            <wp:effectExtent l="0" t="0" r="0" b="0"/>
            <wp:docPr id="2" name="Picture 2" descr="SSM Roun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M Round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E80C4B" w:rsidRPr="00E80C4B" w:rsidRDefault="00E80C4B" w:rsidP="00CB4FDF">
      <w:pPr>
        <w:spacing w:beforeAutospacing="1" w:after="0" w:afterAutospacing="1" w:line="240" w:lineRule="auto"/>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bdr w:val="none" w:sz="0" w:space="0" w:color="auto" w:frame="1"/>
        </w:rPr>
        <w:t>Steamship Mutual</w:t>
      </w:r>
    </w:p>
    <w:p w:rsidR="00E80C4B" w:rsidRPr="00E80C4B" w:rsidRDefault="00E80C4B" w:rsidP="00CB4FDF">
      <w:pPr>
        <w:spacing w:beforeAutospacing="1" w:after="0" w:afterAutospacing="1" w:line="240" w:lineRule="auto"/>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Published: </w:t>
      </w:r>
      <w:r w:rsidRPr="00E80C4B">
        <w:rPr>
          <w:rFonts w:ascii="Arial" w:eastAsia="Times New Roman" w:hAnsi="Arial" w:cs="Arial"/>
          <w:color w:val="000000"/>
          <w:sz w:val="24"/>
          <w:szCs w:val="24"/>
          <w:bdr w:val="none" w:sz="0" w:space="0" w:color="auto" w:frame="1"/>
        </w:rPr>
        <w:t>August 09, 2010</w:t>
      </w:r>
    </w:p>
    <w:p w:rsidR="00E80C4B" w:rsidRPr="00E80C4B" w:rsidRDefault="00E80C4B" w:rsidP="00CB4FDF">
      <w:pPr>
        <w:spacing w:after="240" w:line="300" w:lineRule="atLeast"/>
        <w:jc w:val="both"/>
        <w:textAlignment w:val="baseline"/>
        <w:outlineLvl w:val="1"/>
        <w:rPr>
          <w:rFonts w:ascii="Arial" w:eastAsia="Times New Roman" w:hAnsi="Arial" w:cs="Arial"/>
          <w:color w:val="000000"/>
          <w:sz w:val="36"/>
          <w:szCs w:val="36"/>
        </w:rPr>
      </w:pPr>
      <w:r w:rsidRPr="00E80C4B">
        <w:rPr>
          <w:rFonts w:ascii="Arial" w:eastAsia="Times New Roman" w:hAnsi="Arial" w:cs="Arial"/>
          <w:color w:val="000000"/>
          <w:sz w:val="36"/>
          <w:szCs w:val="36"/>
        </w:rPr>
        <w:t>September 2006</w:t>
      </w:r>
    </w:p>
    <w:p w:rsidR="00E80C4B" w:rsidRPr="00E80C4B" w:rsidRDefault="00E80C4B" w:rsidP="00CB4FDF">
      <w:pPr>
        <w:spacing w:after="0" w:line="240" w:lineRule="auto"/>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The Court of Appeal published its judgement in "</w:t>
      </w:r>
      <w:r w:rsidRPr="00E80C4B">
        <w:rPr>
          <w:rFonts w:ascii="Arial" w:eastAsia="Times New Roman" w:hAnsi="Arial" w:cs="Arial"/>
          <w:i/>
          <w:iCs/>
          <w:color w:val="000000"/>
          <w:sz w:val="24"/>
          <w:szCs w:val="24"/>
          <w:bdr w:val="none" w:sz="0" w:space="0" w:color="auto" w:frame="1"/>
        </w:rPr>
        <w:t>The Front Commander" </w:t>
      </w:r>
      <w:r w:rsidRPr="00E80C4B">
        <w:rPr>
          <w:rFonts w:ascii="Arial" w:eastAsia="Times New Roman" w:hAnsi="Arial" w:cs="Arial"/>
          <w:color w:val="000000"/>
          <w:sz w:val="24"/>
          <w:szCs w:val="24"/>
        </w:rPr>
        <w:t>(</w:t>
      </w:r>
      <w:proofErr w:type="spellStart"/>
      <w:r w:rsidRPr="00E80C4B">
        <w:rPr>
          <w:rFonts w:ascii="Arial" w:eastAsia="Times New Roman" w:hAnsi="Arial" w:cs="Arial"/>
          <w:i/>
          <w:iCs/>
          <w:color w:val="000000"/>
          <w:sz w:val="24"/>
          <w:szCs w:val="24"/>
          <w:bdr w:val="none" w:sz="0" w:space="0" w:color="auto" w:frame="1"/>
        </w:rPr>
        <w:t>Tidebrook</w:t>
      </w:r>
      <w:proofErr w:type="spellEnd"/>
      <w:r w:rsidRPr="00E80C4B">
        <w:rPr>
          <w:rFonts w:ascii="Arial" w:eastAsia="Times New Roman" w:hAnsi="Arial" w:cs="Arial"/>
          <w:i/>
          <w:iCs/>
          <w:color w:val="000000"/>
          <w:sz w:val="24"/>
          <w:szCs w:val="24"/>
          <w:bdr w:val="none" w:sz="0" w:space="0" w:color="auto" w:frame="1"/>
        </w:rPr>
        <w:t xml:space="preserve"> Maritime Corporation v Vitol SA of Geneva</w:t>
      </w:r>
      <w:r w:rsidRPr="00E80C4B">
        <w:rPr>
          <w:rFonts w:ascii="Arial" w:eastAsia="Times New Roman" w:hAnsi="Arial" w:cs="Arial"/>
          <w:color w:val="000000"/>
          <w:sz w:val="24"/>
          <w:szCs w:val="24"/>
        </w:rPr>
        <w:t xml:space="preserve"> [2006] EWCA </w:t>
      </w:r>
      <w:proofErr w:type="spellStart"/>
      <w:r w:rsidRPr="00E80C4B">
        <w:rPr>
          <w:rFonts w:ascii="Arial" w:eastAsia="Times New Roman" w:hAnsi="Arial" w:cs="Arial"/>
          <w:color w:val="000000"/>
          <w:sz w:val="24"/>
          <w:szCs w:val="24"/>
        </w:rPr>
        <w:t>Civ</w:t>
      </w:r>
      <w:proofErr w:type="spellEnd"/>
      <w:r w:rsidRPr="00E80C4B">
        <w:rPr>
          <w:rFonts w:ascii="Arial" w:eastAsia="Times New Roman" w:hAnsi="Arial" w:cs="Arial"/>
          <w:color w:val="000000"/>
          <w:sz w:val="24"/>
          <w:szCs w:val="24"/>
        </w:rPr>
        <w:t xml:space="preserve"> 944) at the beginning of July, and gave welcome clarification of the impact of early loading on the commencement of laytime. The earlier </w:t>
      </w:r>
      <w:hyperlink r:id="rId6" w:history="1">
        <w:r w:rsidRPr="00E80C4B">
          <w:rPr>
            <w:rFonts w:ascii="Arial" w:eastAsia="Times New Roman" w:hAnsi="Arial" w:cs="Arial"/>
            <w:b/>
            <w:bCs/>
            <w:color w:val="3773FF"/>
            <w:sz w:val="24"/>
            <w:szCs w:val="24"/>
            <w:u w:val="single"/>
            <w:bdr w:val="none" w:sz="0" w:space="0" w:color="auto" w:frame="1"/>
          </w:rPr>
          <w:t>High Court decision</w:t>
        </w:r>
      </w:hyperlink>
      <w:r w:rsidRPr="00E80C4B">
        <w:rPr>
          <w:rFonts w:ascii="Arial" w:eastAsia="Times New Roman" w:hAnsi="Arial" w:cs="Arial"/>
          <w:color w:val="000000"/>
          <w:sz w:val="24"/>
          <w:szCs w:val="24"/>
        </w:rPr>
        <w:t xml:space="preserve"> had been widely </w:t>
      </w:r>
      <w:proofErr w:type="spellStart"/>
      <w:r w:rsidRPr="00E80C4B">
        <w:rPr>
          <w:rFonts w:ascii="Arial" w:eastAsia="Times New Roman" w:hAnsi="Arial" w:cs="Arial"/>
          <w:color w:val="000000"/>
          <w:sz w:val="24"/>
          <w:szCs w:val="24"/>
        </w:rPr>
        <w:t>criticised</w:t>
      </w:r>
      <w:proofErr w:type="spellEnd"/>
      <w:r w:rsidRPr="00E80C4B">
        <w:rPr>
          <w:rFonts w:ascii="Arial" w:eastAsia="Times New Roman" w:hAnsi="Arial" w:cs="Arial"/>
          <w:color w:val="000000"/>
          <w:sz w:val="24"/>
          <w:szCs w:val="24"/>
        </w:rPr>
        <w:t xml:space="preserve"> within the industry as the judge's decision was felt to unfairly benefit charterers. In a unanimous decision this was rectified on appeal and the recent decision reflects both commercial and common sense.</w:t>
      </w:r>
    </w:p>
    <w:p w:rsidR="00E80C4B" w:rsidRPr="00E80C4B" w:rsidRDefault="00E80C4B" w:rsidP="00CB4FDF">
      <w:pPr>
        <w:spacing w:after="240" w:line="240" w:lineRule="auto"/>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 xml:space="preserve">The case involved the charter of "The Front Commander" from </w:t>
      </w:r>
      <w:proofErr w:type="spellStart"/>
      <w:r w:rsidRPr="00E80C4B">
        <w:rPr>
          <w:rFonts w:ascii="Arial" w:eastAsia="Times New Roman" w:hAnsi="Arial" w:cs="Arial"/>
          <w:color w:val="000000"/>
          <w:sz w:val="24"/>
          <w:szCs w:val="24"/>
        </w:rPr>
        <w:t>disponent</w:t>
      </w:r>
      <w:proofErr w:type="spellEnd"/>
      <w:r w:rsidRPr="00E80C4B">
        <w:rPr>
          <w:rFonts w:ascii="Arial" w:eastAsia="Times New Roman" w:hAnsi="Arial" w:cs="Arial"/>
          <w:color w:val="000000"/>
          <w:sz w:val="24"/>
          <w:szCs w:val="24"/>
        </w:rPr>
        <w:t xml:space="preserve"> owners, </w:t>
      </w:r>
      <w:proofErr w:type="spellStart"/>
      <w:r w:rsidRPr="00E80C4B">
        <w:rPr>
          <w:rFonts w:ascii="Arial" w:eastAsia="Times New Roman" w:hAnsi="Arial" w:cs="Arial"/>
          <w:color w:val="000000"/>
          <w:sz w:val="24"/>
          <w:szCs w:val="24"/>
        </w:rPr>
        <w:t>Tidebrook</w:t>
      </w:r>
      <w:proofErr w:type="spellEnd"/>
      <w:r w:rsidRPr="00E80C4B">
        <w:rPr>
          <w:rFonts w:ascii="Arial" w:eastAsia="Times New Roman" w:hAnsi="Arial" w:cs="Arial"/>
          <w:color w:val="000000"/>
          <w:sz w:val="24"/>
          <w:szCs w:val="24"/>
        </w:rPr>
        <w:t xml:space="preserve"> Maritime Corporation, to Vitol SA as Charterers, for the carriage of a cargo of crude oil from West Africa to Europe, under an </w:t>
      </w:r>
      <w:proofErr w:type="spellStart"/>
      <w:r w:rsidRPr="00E80C4B">
        <w:rPr>
          <w:rFonts w:ascii="Arial" w:eastAsia="Times New Roman" w:hAnsi="Arial" w:cs="Arial"/>
          <w:color w:val="000000"/>
          <w:sz w:val="24"/>
          <w:szCs w:val="24"/>
        </w:rPr>
        <w:t>Asbantankvoy</w:t>
      </w:r>
      <w:proofErr w:type="spellEnd"/>
      <w:r w:rsidRPr="00E80C4B">
        <w:rPr>
          <w:rFonts w:ascii="Arial" w:eastAsia="Times New Roman" w:hAnsi="Arial" w:cs="Arial"/>
          <w:color w:val="000000"/>
          <w:sz w:val="24"/>
          <w:szCs w:val="24"/>
        </w:rPr>
        <w:t xml:space="preserve"> charter, as amended by Vitol's Voyage Chartering Terms, and by 'Special Provisions' included for the voyage in question. The relevant clauses were:</w:t>
      </w:r>
    </w:p>
    <w:p w:rsidR="00E80C4B" w:rsidRPr="00E80C4B" w:rsidRDefault="00E80C4B" w:rsidP="00CB4FDF">
      <w:pPr>
        <w:spacing w:after="240" w:line="240" w:lineRule="auto"/>
        <w:jc w:val="both"/>
        <w:textAlignment w:val="baseline"/>
        <w:rPr>
          <w:rFonts w:ascii="Arial" w:eastAsia="Times New Roman" w:hAnsi="Arial" w:cs="Arial"/>
          <w:i/>
          <w:iCs/>
          <w:color w:val="000000"/>
          <w:sz w:val="24"/>
          <w:szCs w:val="24"/>
        </w:rPr>
      </w:pPr>
      <w:r w:rsidRPr="00E80C4B">
        <w:rPr>
          <w:rFonts w:ascii="Arial" w:eastAsia="Times New Roman" w:hAnsi="Arial" w:cs="Arial"/>
          <w:i/>
          <w:iCs/>
          <w:color w:val="000000"/>
          <w:sz w:val="24"/>
          <w:szCs w:val="24"/>
        </w:rPr>
        <w:t>Asbatankvoy clauses:</w:t>
      </w:r>
    </w:p>
    <w:p w:rsidR="00E80C4B" w:rsidRPr="00E80C4B" w:rsidRDefault="00E80C4B" w:rsidP="00CB4FDF">
      <w:pPr>
        <w:spacing w:after="240" w:line="240" w:lineRule="auto"/>
        <w:jc w:val="both"/>
        <w:textAlignment w:val="baseline"/>
        <w:rPr>
          <w:rFonts w:ascii="Arial" w:eastAsia="Times New Roman" w:hAnsi="Arial" w:cs="Arial"/>
          <w:i/>
          <w:iCs/>
          <w:color w:val="000000"/>
          <w:sz w:val="24"/>
          <w:szCs w:val="24"/>
        </w:rPr>
      </w:pPr>
      <w:r w:rsidRPr="00E80C4B">
        <w:rPr>
          <w:rFonts w:ascii="Arial" w:eastAsia="Times New Roman" w:hAnsi="Arial" w:cs="Arial"/>
          <w:i/>
          <w:iCs/>
          <w:color w:val="000000"/>
          <w:sz w:val="24"/>
          <w:szCs w:val="24"/>
        </w:rPr>
        <w:t>Clause 5. Laytime shall not commence before the date stipulated in Part 1, except with Charterer's sanction....</w:t>
      </w:r>
    </w:p>
    <w:p w:rsidR="00E80C4B" w:rsidRPr="00E80C4B" w:rsidRDefault="00E80C4B" w:rsidP="00CB4FDF">
      <w:pPr>
        <w:spacing w:after="240" w:line="240" w:lineRule="auto"/>
        <w:jc w:val="both"/>
        <w:textAlignment w:val="baseline"/>
        <w:rPr>
          <w:rFonts w:ascii="Arial" w:eastAsia="Times New Roman" w:hAnsi="Arial" w:cs="Arial"/>
          <w:i/>
          <w:iCs/>
          <w:color w:val="000000"/>
          <w:sz w:val="24"/>
          <w:szCs w:val="24"/>
        </w:rPr>
      </w:pPr>
      <w:r w:rsidRPr="00E80C4B">
        <w:rPr>
          <w:rFonts w:ascii="Arial" w:eastAsia="Times New Roman" w:hAnsi="Arial" w:cs="Arial"/>
          <w:i/>
          <w:iCs/>
          <w:color w:val="000000"/>
          <w:sz w:val="24"/>
          <w:szCs w:val="24"/>
        </w:rPr>
        <w:t>Clause 6. Notice of Readiness. Upon arrival at customary anchorage at each port of loading or discharge, the Master or his agent shall give the Charterer or his agent notice….that the vessel is ready to load…and laytime shall commence upon the expiration of 6 hours after receipt of such notice…</w:t>
      </w:r>
    </w:p>
    <w:p w:rsidR="00E80C4B" w:rsidRPr="00E80C4B" w:rsidRDefault="00E80C4B" w:rsidP="00CB4FDF">
      <w:pPr>
        <w:spacing w:after="240" w:line="240" w:lineRule="auto"/>
        <w:jc w:val="both"/>
        <w:textAlignment w:val="baseline"/>
        <w:rPr>
          <w:rFonts w:ascii="Arial" w:eastAsia="Times New Roman" w:hAnsi="Arial" w:cs="Arial"/>
          <w:i/>
          <w:iCs/>
          <w:color w:val="000000"/>
          <w:sz w:val="24"/>
          <w:szCs w:val="24"/>
        </w:rPr>
      </w:pPr>
      <w:r w:rsidRPr="00E80C4B">
        <w:rPr>
          <w:rFonts w:ascii="Arial" w:eastAsia="Times New Roman" w:hAnsi="Arial" w:cs="Arial"/>
          <w:i/>
          <w:iCs/>
          <w:color w:val="000000"/>
          <w:sz w:val="24"/>
          <w:szCs w:val="24"/>
        </w:rPr>
        <w:lastRenderedPageBreak/>
        <w:t>Additional clauses:</w:t>
      </w:r>
    </w:p>
    <w:p w:rsidR="00E80C4B" w:rsidRPr="00E80C4B" w:rsidRDefault="00E80C4B" w:rsidP="00CB4FDF">
      <w:pPr>
        <w:spacing w:after="240" w:line="240" w:lineRule="auto"/>
        <w:jc w:val="both"/>
        <w:textAlignment w:val="baseline"/>
        <w:rPr>
          <w:rFonts w:ascii="Arial" w:eastAsia="Times New Roman" w:hAnsi="Arial" w:cs="Arial"/>
          <w:i/>
          <w:iCs/>
          <w:color w:val="000000"/>
          <w:sz w:val="24"/>
          <w:szCs w:val="24"/>
        </w:rPr>
      </w:pPr>
      <w:r w:rsidRPr="00E80C4B">
        <w:rPr>
          <w:rFonts w:ascii="Arial" w:eastAsia="Times New Roman" w:hAnsi="Arial" w:cs="Arial"/>
          <w:i/>
          <w:iCs/>
          <w:color w:val="000000"/>
          <w:sz w:val="24"/>
          <w:szCs w:val="24"/>
        </w:rPr>
        <w:t>Clause 31. Operational Compliance Clause: Owner shall indemnify Charterer for any damages, delays, costs and consequences of not complying with Charterer's voyage instructions given in accordance with the Charterparty.... The vessel shall not tender Notice of Readiness prior to the earliest layday date specified in this Charterparty and laytime shall not commence before 0600 hours local time on the earliest layday unless Charterer consents in writing.</w:t>
      </w:r>
    </w:p>
    <w:p w:rsidR="00E80C4B" w:rsidRPr="00E80C4B" w:rsidRDefault="00E80C4B" w:rsidP="00CB4FDF">
      <w:pPr>
        <w:spacing w:after="0" w:line="240" w:lineRule="auto"/>
        <w:jc w:val="both"/>
        <w:textAlignment w:val="baseline"/>
        <w:rPr>
          <w:rFonts w:ascii="Arial" w:eastAsia="Times New Roman" w:hAnsi="Arial" w:cs="Arial"/>
          <w:i/>
          <w:iCs/>
          <w:color w:val="000000"/>
          <w:sz w:val="24"/>
          <w:szCs w:val="24"/>
        </w:rPr>
      </w:pPr>
      <w:r w:rsidRPr="00E80C4B">
        <w:rPr>
          <w:rFonts w:ascii="Arial" w:eastAsia="Times New Roman" w:hAnsi="Arial" w:cs="Arial"/>
          <w:i/>
          <w:iCs/>
          <w:color w:val="000000"/>
          <w:sz w:val="24"/>
          <w:szCs w:val="24"/>
        </w:rPr>
        <w:t>Clause 33. If Charterers permits vessel to tender NOR and berth prior to the commencement of laydays, all time from berthing until commencement of laydays to be credited to Charterer against laytime and/ or time on demurrage. Saved time to be split 50/50 Owners/ Charterers.</w:t>
      </w:r>
    </w:p>
    <w:p w:rsidR="00E80C4B" w:rsidRPr="00E80C4B" w:rsidRDefault="00E80C4B" w:rsidP="00CB4FDF">
      <w:pPr>
        <w:spacing w:after="0" w:line="240" w:lineRule="auto"/>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Laydays were due to commence 9 January 2004 but it became apparent that the vessel would arrive early at the load port. Therefore, Charterers sent a number of messages to Owners via their brokers in relation to the early arrival. The first message, sent 6 January, read as follows: </w:t>
      </w:r>
      <w:r w:rsidRPr="00E80C4B">
        <w:rPr>
          <w:rFonts w:ascii="Arial" w:eastAsia="Times New Roman" w:hAnsi="Arial" w:cs="Arial"/>
          <w:i/>
          <w:iCs/>
          <w:color w:val="000000"/>
          <w:sz w:val="24"/>
          <w:szCs w:val="24"/>
          <w:bdr w:val="none" w:sz="0" w:space="0" w:color="auto" w:frame="1"/>
        </w:rPr>
        <w:t xml:space="preserve">"Charterers confirm NOR to be tendered on arrival </w:t>
      </w:r>
      <w:proofErr w:type="spellStart"/>
      <w:r w:rsidRPr="00E80C4B">
        <w:rPr>
          <w:rFonts w:ascii="Arial" w:eastAsia="Times New Roman" w:hAnsi="Arial" w:cs="Arial"/>
          <w:i/>
          <w:iCs/>
          <w:color w:val="000000"/>
          <w:sz w:val="24"/>
          <w:szCs w:val="24"/>
          <w:bdr w:val="none" w:sz="0" w:space="0" w:color="auto" w:frame="1"/>
        </w:rPr>
        <w:t>Escravos</w:t>
      </w:r>
      <w:proofErr w:type="spellEnd"/>
      <w:r w:rsidRPr="00E80C4B">
        <w:rPr>
          <w:rFonts w:ascii="Arial" w:eastAsia="Times New Roman" w:hAnsi="Arial" w:cs="Arial"/>
          <w:i/>
          <w:iCs/>
          <w:color w:val="000000"/>
          <w:sz w:val="24"/>
          <w:szCs w:val="24"/>
          <w:bdr w:val="none" w:sz="0" w:space="0" w:color="auto" w:frame="1"/>
        </w:rPr>
        <w:t>, and to berth/load as soon as instructed by terminal."</w:t>
      </w:r>
      <w:r w:rsidRPr="00E80C4B">
        <w:rPr>
          <w:rFonts w:ascii="Arial" w:eastAsia="Times New Roman" w:hAnsi="Arial" w:cs="Arial"/>
          <w:color w:val="000000"/>
          <w:sz w:val="24"/>
          <w:szCs w:val="24"/>
        </w:rPr>
        <w:t> Two further messages were sent 7 January: </w:t>
      </w:r>
      <w:r w:rsidRPr="00E80C4B">
        <w:rPr>
          <w:rFonts w:ascii="Arial" w:eastAsia="Times New Roman" w:hAnsi="Arial" w:cs="Arial"/>
          <w:i/>
          <w:iCs/>
          <w:color w:val="000000"/>
          <w:sz w:val="24"/>
          <w:szCs w:val="24"/>
          <w:bdr w:val="none" w:sz="0" w:space="0" w:color="auto" w:frame="1"/>
        </w:rPr>
        <w:t xml:space="preserve">"Charterers reconfirm that 'Front Commander' to tender NOR on arrival </w:t>
      </w:r>
      <w:proofErr w:type="spellStart"/>
      <w:r w:rsidRPr="00E80C4B">
        <w:rPr>
          <w:rFonts w:ascii="Arial" w:eastAsia="Times New Roman" w:hAnsi="Arial" w:cs="Arial"/>
          <w:i/>
          <w:iCs/>
          <w:color w:val="000000"/>
          <w:sz w:val="24"/>
          <w:szCs w:val="24"/>
          <w:bdr w:val="none" w:sz="0" w:space="0" w:color="auto" w:frame="1"/>
        </w:rPr>
        <w:t>Escravos</w:t>
      </w:r>
      <w:proofErr w:type="spellEnd"/>
      <w:r w:rsidRPr="00E80C4B">
        <w:rPr>
          <w:rFonts w:ascii="Arial" w:eastAsia="Times New Roman" w:hAnsi="Arial" w:cs="Arial"/>
          <w:i/>
          <w:iCs/>
          <w:color w:val="000000"/>
          <w:sz w:val="24"/>
          <w:szCs w:val="24"/>
          <w:bdr w:val="none" w:sz="0" w:space="0" w:color="auto" w:frame="1"/>
        </w:rPr>
        <w:t>" </w:t>
      </w:r>
      <w:r w:rsidRPr="00E80C4B">
        <w:rPr>
          <w:rFonts w:ascii="Arial" w:eastAsia="Times New Roman" w:hAnsi="Arial" w:cs="Arial"/>
          <w:color w:val="000000"/>
          <w:sz w:val="24"/>
          <w:szCs w:val="24"/>
        </w:rPr>
        <w:t>and </w:t>
      </w:r>
      <w:r w:rsidRPr="00E80C4B">
        <w:rPr>
          <w:rFonts w:ascii="Arial" w:eastAsia="Times New Roman" w:hAnsi="Arial" w:cs="Arial"/>
          <w:i/>
          <w:iCs/>
          <w:color w:val="000000"/>
          <w:sz w:val="24"/>
          <w:szCs w:val="24"/>
          <w:bdr w:val="none" w:sz="0" w:space="0" w:color="auto" w:frame="1"/>
        </w:rPr>
        <w:t xml:space="preserve">"Front Commander will tender NOR on arrival </w:t>
      </w:r>
      <w:proofErr w:type="spellStart"/>
      <w:r w:rsidRPr="00E80C4B">
        <w:rPr>
          <w:rFonts w:ascii="Arial" w:eastAsia="Times New Roman" w:hAnsi="Arial" w:cs="Arial"/>
          <w:i/>
          <w:iCs/>
          <w:color w:val="000000"/>
          <w:sz w:val="24"/>
          <w:szCs w:val="24"/>
          <w:bdr w:val="none" w:sz="0" w:space="0" w:color="auto" w:frame="1"/>
        </w:rPr>
        <w:t>ie</w:t>
      </w:r>
      <w:proofErr w:type="spellEnd"/>
      <w:r w:rsidRPr="00E80C4B">
        <w:rPr>
          <w:rFonts w:ascii="Arial" w:eastAsia="Times New Roman" w:hAnsi="Arial" w:cs="Arial"/>
          <w:i/>
          <w:iCs/>
          <w:color w:val="000000"/>
          <w:sz w:val="24"/>
          <w:szCs w:val="24"/>
          <w:bdr w:val="none" w:sz="0" w:space="0" w:color="auto" w:frame="1"/>
        </w:rPr>
        <w:t xml:space="preserve"> 08 January 0030 and we want her to berth / commence loading 08 January." </w:t>
      </w:r>
      <w:r w:rsidRPr="00E80C4B">
        <w:rPr>
          <w:rFonts w:ascii="Arial" w:eastAsia="Times New Roman" w:hAnsi="Arial" w:cs="Arial"/>
          <w:color w:val="000000"/>
          <w:sz w:val="24"/>
          <w:szCs w:val="24"/>
        </w:rPr>
        <w:t>NOR was tendered at 0001 hours on the 8th January. On instructions from the terminal, the vessel berthed and started to load at 1648 hours on the same day.</w:t>
      </w:r>
    </w:p>
    <w:p w:rsidR="00E80C4B" w:rsidRPr="00E80C4B" w:rsidRDefault="00E80C4B" w:rsidP="00CB4FDF">
      <w:pPr>
        <w:spacing w:after="240" w:line="240" w:lineRule="auto"/>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When Owners subsequently submitted a demurrage claim to Charterers, a dispute arose as to the time to count at the loadport.</w:t>
      </w:r>
    </w:p>
    <w:p w:rsidR="00E80C4B" w:rsidRPr="00E80C4B" w:rsidRDefault="00E80C4B" w:rsidP="00CB4FDF">
      <w:pPr>
        <w:spacing w:after="240" w:line="240" w:lineRule="auto"/>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 xml:space="preserve">Owners included in their demurrage calculation the period of time following tender of NOR (allowing 6 </w:t>
      </w:r>
      <w:proofErr w:type="spellStart"/>
      <w:r w:rsidRPr="00E80C4B">
        <w:rPr>
          <w:rFonts w:ascii="Arial" w:eastAsia="Times New Roman" w:hAnsi="Arial" w:cs="Arial"/>
          <w:color w:val="000000"/>
          <w:sz w:val="24"/>
          <w:szCs w:val="24"/>
        </w:rPr>
        <w:t>hours notice</w:t>
      </w:r>
      <w:proofErr w:type="spellEnd"/>
      <w:r w:rsidRPr="00E80C4B">
        <w:rPr>
          <w:rFonts w:ascii="Arial" w:eastAsia="Times New Roman" w:hAnsi="Arial" w:cs="Arial"/>
          <w:color w:val="000000"/>
          <w:sz w:val="24"/>
          <w:szCs w:val="24"/>
        </w:rPr>
        <w:t xml:space="preserve"> period as per c/p terms), claiming that time began to run prior to the earliest laycan. Owners gave Charterers 50% of time saved under clause 33 of the charter. Owner's position was that the messages sent by Charterers on 6 and 7 January constituted the 'written consent' necessary under Clause 31 for laytime to commence before the earliest layday and that the NOR was the trigger to the running of laytime.</w:t>
      </w:r>
    </w:p>
    <w:p w:rsidR="00E80C4B" w:rsidRPr="00E80C4B" w:rsidRDefault="00E80C4B" w:rsidP="00CB4FDF">
      <w:pPr>
        <w:spacing w:after="240" w:line="240" w:lineRule="auto"/>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Charterers withheld the amount for the same period on the basis that clauses 5 and 31 of the Charterparty were to be read and interpreted separately. They argued that ordering a vessel to start loading before the commencement of laydays did not amount to express consent that laytime should start before the first layday.</w:t>
      </w:r>
    </w:p>
    <w:p w:rsidR="00E80C4B" w:rsidRPr="00E80C4B" w:rsidRDefault="00E80C4B" w:rsidP="00CB4FDF">
      <w:pPr>
        <w:spacing w:after="240" w:line="240" w:lineRule="auto"/>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 xml:space="preserve">In the High Court, the judge agreed with the Charterers that their emails of 6 and 7 January constituted neither explicit nor implicit consent to the commencement of laytime, but only to the early service of the NOR and that charterers wanted the vessel to berth and commence loading early. The decision was widely </w:t>
      </w:r>
      <w:proofErr w:type="spellStart"/>
      <w:r w:rsidRPr="00E80C4B">
        <w:rPr>
          <w:rFonts w:ascii="Arial" w:eastAsia="Times New Roman" w:hAnsi="Arial" w:cs="Arial"/>
          <w:color w:val="000000"/>
          <w:sz w:val="24"/>
          <w:szCs w:val="24"/>
        </w:rPr>
        <w:t>criticised</w:t>
      </w:r>
      <w:proofErr w:type="spellEnd"/>
      <w:r w:rsidRPr="00E80C4B">
        <w:rPr>
          <w:rFonts w:ascii="Arial" w:eastAsia="Times New Roman" w:hAnsi="Arial" w:cs="Arial"/>
          <w:color w:val="000000"/>
          <w:sz w:val="24"/>
          <w:szCs w:val="24"/>
        </w:rPr>
        <w:t xml:space="preserve"> for giving charterers an unfair windfall profit simply because, when following charterers orders, Owners had not received charterers express agreement that laytime would start early.</w:t>
      </w:r>
    </w:p>
    <w:p w:rsidR="00E80C4B" w:rsidRPr="00E80C4B" w:rsidRDefault="00E80C4B" w:rsidP="00CB4FDF">
      <w:pPr>
        <w:spacing w:after="0" w:line="240" w:lineRule="auto"/>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 xml:space="preserve">Before the Court of Appeal, Charterers maintained their position that the necessary written consent to sanction the early commencement of laytime had not been given. The </w:t>
      </w:r>
      <w:r w:rsidRPr="00E80C4B">
        <w:rPr>
          <w:rFonts w:ascii="Arial" w:eastAsia="Times New Roman" w:hAnsi="Arial" w:cs="Arial"/>
          <w:color w:val="000000"/>
          <w:sz w:val="24"/>
          <w:szCs w:val="24"/>
        </w:rPr>
        <w:lastRenderedPageBreak/>
        <w:t>Court of Appeal disagreed, stating that Charterer's interpretation of the Charterparty (specifically clause 31) was </w:t>
      </w:r>
      <w:r w:rsidRPr="00E80C4B">
        <w:rPr>
          <w:rFonts w:ascii="Arial" w:eastAsia="Times New Roman" w:hAnsi="Arial" w:cs="Arial"/>
          <w:i/>
          <w:iCs/>
          <w:color w:val="000000"/>
          <w:sz w:val="24"/>
          <w:szCs w:val="24"/>
          <w:bdr w:val="none" w:sz="0" w:space="0" w:color="auto" w:frame="1"/>
        </w:rPr>
        <w:t>"unrealistic, uncommercial and a trap for the unwary Master or Owner's agent"</w:t>
      </w:r>
      <w:r w:rsidRPr="00E80C4B">
        <w:rPr>
          <w:rFonts w:ascii="Arial" w:eastAsia="Times New Roman" w:hAnsi="Arial" w:cs="Arial"/>
          <w:color w:val="000000"/>
          <w:sz w:val="24"/>
          <w:szCs w:val="24"/>
        </w:rPr>
        <w:t>. The decision is welcome further evidence of the court's appreciation of commercial common sense. Rix LJ, who gave the lead judgment referred to </w:t>
      </w:r>
      <w:r w:rsidRPr="00E80C4B">
        <w:rPr>
          <w:rFonts w:ascii="Arial" w:eastAsia="Times New Roman" w:hAnsi="Arial" w:cs="Arial"/>
          <w:i/>
          <w:iCs/>
          <w:color w:val="000000"/>
          <w:sz w:val="24"/>
          <w:szCs w:val="24"/>
          <w:bdr w:val="none" w:sz="0" w:space="0" w:color="auto" w:frame="1"/>
        </w:rPr>
        <w:t>"The Happy Day"</w:t>
      </w:r>
      <w:r w:rsidRPr="00E80C4B">
        <w:rPr>
          <w:rFonts w:ascii="Arial" w:eastAsia="Times New Roman" w:hAnsi="Arial" w:cs="Arial"/>
          <w:color w:val="000000"/>
          <w:sz w:val="24"/>
          <w:szCs w:val="24"/>
        </w:rPr>
        <w:t> (2002) 2 LLR 487, in which the Court of Appeal held that an invalid NOR took effect when discharge started, thereby avoiding the absurdity of Owners being liable to pay dispatch when the vessel had been discharging for three months, and Potter LJ's comment in that case that a contrary conclusion would have amounted to a </w:t>
      </w:r>
      <w:r w:rsidRPr="00E80C4B">
        <w:rPr>
          <w:rFonts w:ascii="Arial" w:eastAsia="Times New Roman" w:hAnsi="Arial" w:cs="Arial"/>
          <w:i/>
          <w:iCs/>
          <w:color w:val="000000"/>
          <w:sz w:val="24"/>
          <w:szCs w:val="24"/>
          <w:bdr w:val="none" w:sz="0" w:space="0" w:color="auto" w:frame="1"/>
        </w:rPr>
        <w:t>"lack of fair dealing"</w:t>
      </w:r>
      <w:r w:rsidRPr="00E80C4B">
        <w:rPr>
          <w:rFonts w:ascii="Arial" w:eastAsia="Times New Roman" w:hAnsi="Arial" w:cs="Arial"/>
          <w:color w:val="000000"/>
          <w:sz w:val="24"/>
          <w:szCs w:val="24"/>
        </w:rPr>
        <w:t>.</w:t>
      </w:r>
    </w:p>
    <w:p w:rsidR="00E80C4B" w:rsidRPr="00E80C4B" w:rsidRDefault="00E80C4B" w:rsidP="00CB4FDF">
      <w:pPr>
        <w:spacing w:after="240" w:line="240" w:lineRule="auto"/>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Rix LJ considered the Owners' obligation under clause 6 of the Asbatankvoy charter party to tender NOR when a vessel is ready to load even if the vessel has arrived early, and to clarify both the Owners' and Charterers' obligations when NOR is (validly) tendered early.</w:t>
      </w:r>
    </w:p>
    <w:p w:rsidR="00CB4FDF" w:rsidRDefault="00E80C4B" w:rsidP="00CB4FDF">
      <w:pPr>
        <w:spacing w:after="0" w:line="240" w:lineRule="auto"/>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 xml:space="preserve">It is somewhat surprising that there was no English authority as to when laytime will, in these circumstances, and in the absence of any other clauses in the charter party, start to run. </w:t>
      </w:r>
      <w:bookmarkStart w:id="0" w:name="_GoBack"/>
      <w:r w:rsidRPr="00E80C4B">
        <w:rPr>
          <w:rFonts w:ascii="Arial" w:eastAsia="Times New Roman" w:hAnsi="Arial" w:cs="Arial"/>
          <w:color w:val="000000"/>
          <w:sz w:val="24"/>
          <w:szCs w:val="24"/>
        </w:rPr>
        <w:t xml:space="preserve">However, it is now clear that </w:t>
      </w:r>
      <w:r w:rsidRPr="00CB4FDF">
        <w:rPr>
          <w:rFonts w:ascii="Arial" w:eastAsia="Times New Roman" w:hAnsi="Arial" w:cs="Arial"/>
          <w:color w:val="000000"/>
          <w:sz w:val="24"/>
          <w:szCs w:val="24"/>
          <w:highlight w:val="yellow"/>
        </w:rPr>
        <w:t>provided any notice period has also been used (i.e. the six hours under clause 6) time starts to run against the Charterers as soon as the earliest layday begins.</w:t>
      </w:r>
      <w:r w:rsidRPr="00E80C4B">
        <w:rPr>
          <w:rFonts w:ascii="Arial" w:eastAsia="Times New Roman" w:hAnsi="Arial" w:cs="Arial"/>
          <w:color w:val="000000"/>
          <w:sz w:val="24"/>
          <w:szCs w:val="24"/>
        </w:rPr>
        <w:t xml:space="preserve"> </w:t>
      </w:r>
    </w:p>
    <w:p w:rsidR="00CB4FDF" w:rsidRDefault="00CB4FDF" w:rsidP="00CB4FDF">
      <w:pPr>
        <w:spacing w:after="0" w:line="240" w:lineRule="auto"/>
        <w:jc w:val="both"/>
        <w:textAlignment w:val="baseline"/>
        <w:rPr>
          <w:rFonts w:ascii="Arial" w:eastAsia="Times New Roman" w:hAnsi="Arial" w:cs="Arial"/>
          <w:color w:val="000000"/>
          <w:sz w:val="24"/>
          <w:szCs w:val="24"/>
        </w:rPr>
      </w:pPr>
    </w:p>
    <w:p w:rsidR="00E80C4B" w:rsidRDefault="00E80C4B" w:rsidP="00CB4FDF">
      <w:pPr>
        <w:spacing w:after="0" w:line="480" w:lineRule="auto"/>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 xml:space="preserve">In this respect early NOR does not oblige the Charterer to start loading before the earliest layday, but the Owner is obliged to start loading before that date if ordered to do </w:t>
      </w:r>
      <w:r w:rsidRPr="00CB4FDF">
        <w:rPr>
          <w:rFonts w:ascii="Arial" w:eastAsia="Times New Roman" w:hAnsi="Arial" w:cs="Arial"/>
          <w:b/>
          <w:color w:val="FF0000"/>
          <w:sz w:val="24"/>
          <w:szCs w:val="24"/>
        </w:rPr>
        <w:t>so</w:t>
      </w:r>
      <w:r w:rsidRPr="00CB4FDF">
        <w:rPr>
          <w:rFonts w:ascii="Arial" w:eastAsia="Times New Roman" w:hAnsi="Arial" w:cs="Arial"/>
          <w:b/>
          <w:color w:val="FF0000"/>
          <w:sz w:val="24"/>
          <w:szCs w:val="24"/>
          <w:bdr w:val="none" w:sz="0" w:space="0" w:color="auto" w:frame="1"/>
          <w:vertAlign w:val="superscript"/>
        </w:rPr>
        <w:t>1</w:t>
      </w:r>
      <w:r w:rsidRPr="00CB4FDF">
        <w:rPr>
          <w:rFonts w:ascii="Arial" w:eastAsia="Times New Roman" w:hAnsi="Arial" w:cs="Arial"/>
          <w:b/>
          <w:color w:val="FF0000"/>
          <w:sz w:val="24"/>
          <w:szCs w:val="24"/>
        </w:rPr>
        <w:t xml:space="preserve"> and that order is the sanction that means clause 5 </w:t>
      </w:r>
      <w:r w:rsidRPr="00E80C4B">
        <w:rPr>
          <w:rFonts w:ascii="Arial" w:eastAsia="Times New Roman" w:hAnsi="Arial" w:cs="Arial"/>
          <w:color w:val="000000"/>
          <w:sz w:val="24"/>
          <w:szCs w:val="24"/>
        </w:rPr>
        <w:t>(</w:t>
      </w:r>
      <w:r w:rsidRPr="00E80C4B">
        <w:rPr>
          <w:rFonts w:ascii="Arial" w:eastAsia="Times New Roman" w:hAnsi="Arial" w:cs="Arial"/>
          <w:i/>
          <w:iCs/>
          <w:color w:val="000000"/>
          <w:sz w:val="24"/>
          <w:szCs w:val="24"/>
          <w:bdr w:val="none" w:sz="0" w:space="0" w:color="auto" w:frame="1"/>
        </w:rPr>
        <w:t>"Laytime shall not commence before the date stipulated ..."</w:t>
      </w:r>
      <w:r w:rsidRPr="00E80C4B">
        <w:rPr>
          <w:rFonts w:ascii="Arial" w:eastAsia="Times New Roman" w:hAnsi="Arial" w:cs="Arial"/>
          <w:color w:val="000000"/>
          <w:sz w:val="24"/>
          <w:szCs w:val="24"/>
        </w:rPr>
        <w:t xml:space="preserve">) </w:t>
      </w:r>
      <w:r w:rsidRPr="00CB4FDF">
        <w:rPr>
          <w:rFonts w:ascii="Arial" w:eastAsia="Times New Roman" w:hAnsi="Arial" w:cs="Arial"/>
          <w:b/>
          <w:color w:val="000000"/>
          <w:sz w:val="24"/>
          <w:szCs w:val="24"/>
        </w:rPr>
        <w:t>does not apply so that time starts to runs against Charterers.</w:t>
      </w:r>
      <w:r w:rsidRPr="00E80C4B">
        <w:rPr>
          <w:rFonts w:ascii="Arial" w:eastAsia="Times New Roman" w:hAnsi="Arial" w:cs="Arial"/>
          <w:color w:val="000000"/>
          <w:sz w:val="24"/>
          <w:szCs w:val="24"/>
        </w:rPr>
        <w:t xml:space="preserve"> </w:t>
      </w:r>
      <w:bookmarkEnd w:id="0"/>
      <w:r w:rsidRPr="00E80C4B">
        <w:rPr>
          <w:rFonts w:ascii="Arial" w:eastAsia="Times New Roman" w:hAnsi="Arial" w:cs="Arial"/>
          <w:color w:val="000000"/>
          <w:sz w:val="24"/>
          <w:szCs w:val="24"/>
        </w:rPr>
        <w:t>.</w:t>
      </w:r>
    </w:p>
    <w:p w:rsidR="00CB4FDF" w:rsidRPr="00E80C4B" w:rsidRDefault="00CB4FDF" w:rsidP="00CB4FDF">
      <w:pPr>
        <w:spacing w:after="0" w:line="240" w:lineRule="auto"/>
        <w:jc w:val="both"/>
        <w:textAlignment w:val="baseline"/>
        <w:rPr>
          <w:rFonts w:ascii="Arial" w:eastAsia="Times New Roman" w:hAnsi="Arial" w:cs="Arial"/>
          <w:color w:val="000000"/>
          <w:sz w:val="24"/>
          <w:szCs w:val="24"/>
        </w:rPr>
      </w:pPr>
    </w:p>
    <w:p w:rsidR="00E80C4B" w:rsidRDefault="00E80C4B" w:rsidP="00CB4FDF">
      <w:pPr>
        <w:spacing w:after="0" w:line="240" w:lineRule="auto"/>
        <w:jc w:val="both"/>
        <w:textAlignment w:val="baseline"/>
        <w:rPr>
          <w:rFonts w:ascii="Arial" w:eastAsia="Times New Roman" w:hAnsi="Arial" w:cs="Arial"/>
          <w:i/>
          <w:iCs/>
          <w:color w:val="000000"/>
          <w:sz w:val="24"/>
          <w:szCs w:val="24"/>
          <w:bdr w:val="none" w:sz="0" w:space="0" w:color="auto" w:frame="1"/>
        </w:rPr>
      </w:pPr>
      <w:r w:rsidRPr="00E80C4B">
        <w:rPr>
          <w:rFonts w:ascii="Arial" w:eastAsia="Times New Roman" w:hAnsi="Arial" w:cs="Arial"/>
          <w:color w:val="000000"/>
          <w:sz w:val="24"/>
          <w:szCs w:val="24"/>
        </w:rPr>
        <w:t xml:space="preserve">While the law in relation to the early commencement of laytime under an </w:t>
      </w:r>
      <w:proofErr w:type="spellStart"/>
      <w:r w:rsidRPr="00E80C4B">
        <w:rPr>
          <w:rFonts w:ascii="Arial" w:eastAsia="Times New Roman" w:hAnsi="Arial" w:cs="Arial"/>
          <w:color w:val="000000"/>
          <w:sz w:val="24"/>
          <w:szCs w:val="24"/>
        </w:rPr>
        <w:t>unamended</w:t>
      </w:r>
      <w:proofErr w:type="spellEnd"/>
      <w:r w:rsidRPr="00E80C4B">
        <w:rPr>
          <w:rFonts w:ascii="Arial" w:eastAsia="Times New Roman" w:hAnsi="Arial" w:cs="Arial"/>
          <w:color w:val="000000"/>
          <w:sz w:val="24"/>
          <w:szCs w:val="24"/>
        </w:rPr>
        <w:t xml:space="preserve"> Asbatankvoy charter is now clear clauses 31 and 33 of </w:t>
      </w:r>
      <w:r w:rsidRPr="00E80C4B">
        <w:rPr>
          <w:rFonts w:ascii="Arial" w:eastAsia="Times New Roman" w:hAnsi="Arial" w:cs="Arial"/>
          <w:i/>
          <w:iCs/>
          <w:color w:val="000000"/>
          <w:sz w:val="24"/>
          <w:szCs w:val="24"/>
          <w:bdr w:val="none" w:sz="0" w:space="0" w:color="auto" w:frame="1"/>
        </w:rPr>
        <w:t>"The Front Commander</w:t>
      </w:r>
      <w:r w:rsidRPr="00E80C4B">
        <w:rPr>
          <w:rFonts w:ascii="Arial" w:eastAsia="Times New Roman" w:hAnsi="Arial" w:cs="Arial"/>
          <w:color w:val="000000"/>
          <w:sz w:val="24"/>
          <w:szCs w:val="24"/>
        </w:rPr>
        <w:t>" charter party were also relevant: did these clauses amount to an express agreement that laytime would not count against Charterers if loading started early? Charterers argued that the clauses had to be read separately, and that the effect of clause 31 was that, without a further express written consent (i.e. in addition to the consent to the early tender of NOR) to the commencement of laytime, time could not count against Charterers until then, and that moreover clause 33 gave Charterers a credit of 6 hours in respect of time saved on the 8th January. Owners argued that the clauses should be construed together. Rix LJ agreed: </w:t>
      </w:r>
      <w:r w:rsidRPr="00E80C4B">
        <w:rPr>
          <w:rFonts w:ascii="Arial" w:eastAsia="Times New Roman" w:hAnsi="Arial" w:cs="Arial"/>
          <w:i/>
          <w:iCs/>
          <w:color w:val="000000"/>
          <w:sz w:val="24"/>
          <w:szCs w:val="24"/>
          <w:bdr w:val="none" w:sz="0" w:space="0" w:color="auto" w:frame="1"/>
        </w:rPr>
        <w:t>"Each is capable of throwing light on the other".</w:t>
      </w:r>
    </w:p>
    <w:p w:rsidR="00CB4FDF" w:rsidRPr="00E80C4B" w:rsidRDefault="00CB4FDF" w:rsidP="00CB4FDF">
      <w:pPr>
        <w:spacing w:after="0" w:line="240" w:lineRule="auto"/>
        <w:jc w:val="both"/>
        <w:textAlignment w:val="baseline"/>
        <w:rPr>
          <w:rFonts w:ascii="Arial" w:eastAsia="Times New Roman" w:hAnsi="Arial" w:cs="Arial"/>
          <w:color w:val="000000"/>
          <w:sz w:val="24"/>
          <w:szCs w:val="24"/>
        </w:rPr>
      </w:pPr>
    </w:p>
    <w:p w:rsidR="00E80C4B" w:rsidRPr="00E80C4B" w:rsidRDefault="00E80C4B" w:rsidP="00CB4FDF">
      <w:pPr>
        <w:spacing w:after="240" w:line="240" w:lineRule="auto"/>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He gave seven other reasons why he did not agree with Charterers. In particular:-</w:t>
      </w:r>
    </w:p>
    <w:p w:rsidR="00E80C4B" w:rsidRPr="00E80C4B" w:rsidRDefault="00E80C4B" w:rsidP="00CB4FDF">
      <w:pPr>
        <w:numPr>
          <w:ilvl w:val="0"/>
          <w:numId w:val="3"/>
        </w:numPr>
        <w:spacing w:before="100" w:beforeAutospacing="1" w:after="100" w:afterAutospacing="1" w:line="240" w:lineRule="auto"/>
        <w:ind w:left="0"/>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Unless the charterparty clearly says so why should Charterers load or discharge in free time.</w:t>
      </w:r>
    </w:p>
    <w:p w:rsidR="00E80C4B" w:rsidRPr="00E80C4B" w:rsidRDefault="00E80C4B" w:rsidP="00CB4FDF">
      <w:pPr>
        <w:numPr>
          <w:ilvl w:val="0"/>
          <w:numId w:val="3"/>
        </w:numPr>
        <w:spacing w:beforeAutospacing="1" w:after="0" w:afterAutospacing="1" w:line="240" w:lineRule="auto"/>
        <w:ind w:left="0"/>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The commencement of laytime is intimately connected with the service of NOR. He referred to the words of Potter LJ in </w:t>
      </w:r>
      <w:r w:rsidRPr="00E80C4B">
        <w:rPr>
          <w:rFonts w:ascii="Arial" w:eastAsia="Times New Roman" w:hAnsi="Arial" w:cs="Arial"/>
          <w:i/>
          <w:iCs/>
          <w:color w:val="000000"/>
          <w:sz w:val="24"/>
          <w:szCs w:val="24"/>
          <w:bdr w:val="none" w:sz="0" w:space="0" w:color="auto" w:frame="1"/>
        </w:rPr>
        <w:t>"The Happy Ranger"</w:t>
      </w:r>
    </w:p>
    <w:p w:rsidR="00E80C4B" w:rsidRPr="00E80C4B" w:rsidRDefault="00E80C4B" w:rsidP="00CB4FDF">
      <w:pPr>
        <w:spacing w:after="0" w:line="240" w:lineRule="auto"/>
        <w:jc w:val="both"/>
        <w:textAlignment w:val="baseline"/>
        <w:rPr>
          <w:rFonts w:ascii="Arial" w:eastAsia="Times New Roman" w:hAnsi="Arial" w:cs="Arial"/>
          <w:i/>
          <w:iCs/>
          <w:color w:val="000000"/>
          <w:sz w:val="24"/>
          <w:szCs w:val="24"/>
        </w:rPr>
      </w:pPr>
      <w:r w:rsidRPr="00E80C4B">
        <w:rPr>
          <w:rFonts w:ascii="Arial" w:eastAsia="Times New Roman" w:hAnsi="Arial" w:cs="Arial"/>
          <w:i/>
          <w:iCs/>
          <w:color w:val="000000"/>
          <w:sz w:val="24"/>
          <w:szCs w:val="24"/>
          <w:bdr w:val="none" w:sz="0" w:space="0" w:color="auto" w:frame="1"/>
        </w:rPr>
        <w:lastRenderedPageBreak/>
        <w:t>"The commercial context and the purpose of the contractual requirement to serve NOR which is to trigger the Charterers' obligation to unload whereby laytime starts to run immediately (in the absence of express provision</w:t>
      </w:r>
      <w:proofErr w:type="gramStart"/>
      <w:r w:rsidRPr="00E80C4B">
        <w:rPr>
          <w:rFonts w:ascii="Arial" w:eastAsia="Times New Roman" w:hAnsi="Arial" w:cs="Arial"/>
          <w:i/>
          <w:iCs/>
          <w:color w:val="000000"/>
          <w:sz w:val="24"/>
          <w:szCs w:val="24"/>
          <w:bdr w:val="none" w:sz="0" w:space="0" w:color="auto" w:frame="1"/>
        </w:rPr>
        <w:t>), …"</w:t>
      </w:r>
      <w:proofErr w:type="gramEnd"/>
    </w:p>
    <w:p w:rsidR="00E80C4B" w:rsidRPr="00E80C4B" w:rsidRDefault="00E80C4B" w:rsidP="00CB4FDF">
      <w:pPr>
        <w:numPr>
          <w:ilvl w:val="0"/>
          <w:numId w:val="3"/>
        </w:numPr>
        <w:spacing w:before="100" w:beforeAutospacing="1" w:after="100" w:afterAutospacing="1" w:line="240" w:lineRule="auto"/>
        <w:ind w:left="0"/>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The sole and dominant purpose of NOR is to tender the vessel for loading or discharge and thus to act as the trigger for the commencement of laytime.</w:t>
      </w:r>
    </w:p>
    <w:p w:rsidR="00E80C4B" w:rsidRPr="00E80C4B" w:rsidRDefault="00E80C4B" w:rsidP="00CB4FDF">
      <w:pPr>
        <w:numPr>
          <w:ilvl w:val="0"/>
          <w:numId w:val="3"/>
        </w:numPr>
        <w:spacing w:before="100" w:beforeAutospacing="1" w:after="100" w:afterAutospacing="1" w:line="240" w:lineRule="auto"/>
        <w:ind w:left="0"/>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Because when ordered to berth and load before the laydays owners were obliged to do so it makes no commercial sense that owners should also seek a separate express agreement to the commencement of laytime, particularly if, and if charterers construction of clause 31 was correct, such a request could be met by a refusal and threat to hold owners liable to indemnify charterers for any time lost time from not following charterers orders.</w:t>
      </w:r>
    </w:p>
    <w:p w:rsidR="00E80C4B" w:rsidRPr="00E80C4B" w:rsidRDefault="00E80C4B" w:rsidP="00CB4FDF">
      <w:pPr>
        <w:numPr>
          <w:ilvl w:val="0"/>
          <w:numId w:val="3"/>
        </w:numPr>
        <w:spacing w:after="0" w:line="240" w:lineRule="auto"/>
        <w:ind w:left="0"/>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Clause 33 provides that time used from berthing counts against Charterers, but 50% of that time is credited back to them if it occurs before the agreed laydays.</w:t>
      </w:r>
    </w:p>
    <w:p w:rsidR="00E80C4B" w:rsidRPr="00E80C4B" w:rsidRDefault="00E80C4B" w:rsidP="00CB4FDF">
      <w:pPr>
        <w:spacing w:after="0" w:line="240" w:lineRule="auto"/>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Both Scott Baker LJ and Buxton LJ agreed. The latter also went on to add </w:t>
      </w:r>
      <w:r w:rsidRPr="00E80C4B">
        <w:rPr>
          <w:rFonts w:ascii="Arial" w:eastAsia="Times New Roman" w:hAnsi="Arial" w:cs="Arial"/>
          <w:i/>
          <w:iCs/>
          <w:color w:val="000000"/>
          <w:sz w:val="24"/>
          <w:szCs w:val="24"/>
          <w:bdr w:val="none" w:sz="0" w:space="0" w:color="auto" w:frame="1"/>
        </w:rPr>
        <w:t xml:space="preserve">"that any other solution would be wholly impractical, and would introduce a very inappropriate invitation to legalistic </w:t>
      </w:r>
      <w:proofErr w:type="spellStart"/>
      <w:r w:rsidRPr="00E80C4B">
        <w:rPr>
          <w:rFonts w:ascii="Arial" w:eastAsia="Times New Roman" w:hAnsi="Arial" w:cs="Arial"/>
          <w:i/>
          <w:iCs/>
          <w:color w:val="000000"/>
          <w:sz w:val="24"/>
          <w:szCs w:val="24"/>
          <w:bdr w:val="none" w:sz="0" w:space="0" w:color="auto" w:frame="1"/>
        </w:rPr>
        <w:t>manoeuvring</w:t>
      </w:r>
      <w:proofErr w:type="spellEnd"/>
      <w:r w:rsidRPr="00E80C4B">
        <w:rPr>
          <w:rFonts w:ascii="Arial" w:eastAsia="Times New Roman" w:hAnsi="Arial" w:cs="Arial"/>
          <w:i/>
          <w:iCs/>
          <w:color w:val="000000"/>
          <w:sz w:val="24"/>
          <w:szCs w:val="24"/>
          <w:bdr w:val="none" w:sz="0" w:space="0" w:color="auto" w:frame="1"/>
        </w:rPr>
        <w:t xml:space="preserve"> into what should be a transaction driven only by commercial practicality"</w:t>
      </w:r>
      <w:r w:rsidRPr="00E80C4B">
        <w:rPr>
          <w:rFonts w:ascii="Arial" w:eastAsia="Times New Roman" w:hAnsi="Arial" w:cs="Arial"/>
          <w:color w:val="000000"/>
          <w:sz w:val="24"/>
          <w:szCs w:val="24"/>
        </w:rPr>
        <w:t>.</w:t>
      </w:r>
    </w:p>
    <w:p w:rsidR="00E80C4B" w:rsidRPr="00E80C4B" w:rsidRDefault="00E80C4B" w:rsidP="00CB4FDF">
      <w:pPr>
        <w:spacing w:after="240" w:line="240" w:lineRule="auto"/>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The judgement has been welcomed by many within the shipping industry and is seen as a victory for common sense over legal technicality.</w:t>
      </w:r>
    </w:p>
    <w:p w:rsidR="00E80C4B" w:rsidRPr="00E80C4B" w:rsidRDefault="00E80C4B" w:rsidP="00CB4FDF">
      <w:pPr>
        <w:spacing w:after="0" w:line="240" w:lineRule="auto"/>
        <w:jc w:val="both"/>
        <w:textAlignment w:val="baseline"/>
        <w:rPr>
          <w:rFonts w:ascii="Arial" w:eastAsia="Times New Roman" w:hAnsi="Arial" w:cs="Arial"/>
          <w:color w:val="000000"/>
          <w:sz w:val="24"/>
          <w:szCs w:val="24"/>
        </w:rPr>
      </w:pPr>
      <w:proofErr w:type="gramStart"/>
      <w:r w:rsidRPr="00E80C4B">
        <w:rPr>
          <w:rFonts w:ascii="Arial" w:eastAsia="Times New Roman" w:hAnsi="Arial" w:cs="Arial"/>
          <w:color w:val="000000"/>
          <w:sz w:val="24"/>
          <w:szCs w:val="24"/>
        </w:rPr>
        <w:t>1.If</w:t>
      </w:r>
      <w:proofErr w:type="gramEnd"/>
      <w:r w:rsidRPr="00E80C4B">
        <w:rPr>
          <w:rFonts w:ascii="Arial" w:eastAsia="Times New Roman" w:hAnsi="Arial" w:cs="Arial"/>
          <w:color w:val="000000"/>
          <w:sz w:val="24"/>
          <w:szCs w:val="24"/>
        </w:rPr>
        <w:t xml:space="preserve"> the Owner refused this would amount to a withdrawal of the NOR</w:t>
      </w:r>
    </w:p>
    <w:p w:rsidR="00E80C4B" w:rsidRPr="00E80C4B" w:rsidRDefault="00E80C4B" w:rsidP="00CB4FDF">
      <w:pPr>
        <w:spacing w:before="100" w:beforeAutospacing="1" w:after="100" w:afterAutospacing="1" w:line="240" w:lineRule="auto"/>
        <w:jc w:val="both"/>
        <w:textAlignment w:val="baseline"/>
        <w:rPr>
          <w:rFonts w:ascii="Arial" w:eastAsia="Times New Roman" w:hAnsi="Arial" w:cs="Arial"/>
          <w:color w:val="000000"/>
          <w:sz w:val="24"/>
          <w:szCs w:val="24"/>
        </w:rPr>
      </w:pPr>
      <w:r w:rsidRPr="00E80C4B">
        <w:rPr>
          <w:rFonts w:ascii="Arial" w:eastAsia="Times New Roman" w:hAnsi="Arial" w:cs="Arial"/>
          <w:color w:val="000000"/>
          <w:sz w:val="24"/>
          <w:szCs w:val="24"/>
        </w:rPr>
        <w:t>Share this article:</w:t>
      </w:r>
    </w:p>
    <w:p w:rsidR="00E80C4B" w:rsidRPr="00E80C4B" w:rsidRDefault="00E80C4B" w:rsidP="00CB4FDF">
      <w:pPr>
        <w:spacing w:after="600" w:line="240" w:lineRule="auto"/>
        <w:jc w:val="both"/>
        <w:textAlignment w:val="baseline"/>
        <w:rPr>
          <w:rFonts w:ascii="Arial" w:eastAsia="Times New Roman" w:hAnsi="Arial" w:cs="Arial"/>
          <w:color w:val="FFFFFF"/>
          <w:sz w:val="24"/>
          <w:szCs w:val="24"/>
        </w:rPr>
      </w:pPr>
      <w:proofErr w:type="gramStart"/>
      <w:r w:rsidRPr="00E80C4B">
        <w:rPr>
          <w:rFonts w:ascii="Arial" w:eastAsia="Times New Roman" w:hAnsi="Arial" w:cs="Arial"/>
          <w:color w:val="FFFFFF"/>
          <w:sz w:val="24"/>
          <w:szCs w:val="24"/>
        </w:rPr>
        <w:t>served</w:t>
      </w:r>
      <w:proofErr w:type="gramEnd"/>
      <w:r w:rsidRPr="00E80C4B">
        <w:rPr>
          <w:rFonts w:ascii="Arial" w:eastAsia="Times New Roman" w:hAnsi="Arial" w:cs="Arial"/>
          <w:color w:val="FFFFFF"/>
          <w:sz w:val="24"/>
          <w:szCs w:val="24"/>
        </w:rPr>
        <w:t>.</w:t>
      </w:r>
    </w:p>
    <w:p w:rsidR="00916B31" w:rsidRPr="00E80C4B" w:rsidRDefault="00CB4FDF" w:rsidP="00CB4FDF">
      <w:pPr>
        <w:jc w:val="both"/>
      </w:pPr>
    </w:p>
    <w:sectPr w:rsidR="00916B31" w:rsidRPr="00E80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848F8"/>
    <w:multiLevelType w:val="multilevel"/>
    <w:tmpl w:val="4714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16212"/>
    <w:multiLevelType w:val="multilevel"/>
    <w:tmpl w:val="209C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1086B"/>
    <w:multiLevelType w:val="multilevel"/>
    <w:tmpl w:val="5EE2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A17E6F"/>
    <w:multiLevelType w:val="multilevel"/>
    <w:tmpl w:val="5E60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C4B"/>
    <w:rsid w:val="00306804"/>
    <w:rsid w:val="003862FB"/>
    <w:rsid w:val="003F569D"/>
    <w:rsid w:val="008A6BCB"/>
    <w:rsid w:val="00AE03D0"/>
    <w:rsid w:val="00BF1411"/>
    <w:rsid w:val="00CB4FDF"/>
    <w:rsid w:val="00E8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4E533"/>
  <w15:chartTrackingRefBased/>
  <w15:docId w15:val="{033678B7-52E0-4289-9185-6D13C482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80C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0C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C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0C4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80C4B"/>
    <w:rPr>
      <w:color w:val="0000FF"/>
      <w:u w:val="single"/>
    </w:rPr>
  </w:style>
  <w:style w:type="paragraph" w:customStyle="1" w:styleId="coh-paragraph">
    <w:name w:val="coh-paragraph"/>
    <w:basedOn w:val="Normal"/>
    <w:rsid w:val="00E80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h-inline-element">
    <w:name w:val="coh-inline-element"/>
    <w:basedOn w:val="DefaultParagraphFont"/>
    <w:rsid w:val="00E80C4B"/>
  </w:style>
  <w:style w:type="paragraph" w:styleId="NormalWeb">
    <w:name w:val="Normal (Web)"/>
    <w:basedOn w:val="Normal"/>
    <w:uiPriority w:val="99"/>
    <w:semiHidden/>
    <w:unhideWhenUsed/>
    <w:rsid w:val="00E80C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0C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270172">
      <w:bodyDiv w:val="1"/>
      <w:marLeft w:val="0"/>
      <w:marRight w:val="0"/>
      <w:marTop w:val="0"/>
      <w:marBottom w:val="0"/>
      <w:divBdr>
        <w:top w:val="none" w:sz="0" w:space="0" w:color="auto"/>
        <w:left w:val="none" w:sz="0" w:space="0" w:color="auto"/>
        <w:bottom w:val="none" w:sz="0" w:space="0" w:color="auto"/>
        <w:right w:val="none" w:sz="0" w:space="0" w:color="auto"/>
      </w:divBdr>
      <w:divsChild>
        <w:div w:id="204484121">
          <w:marLeft w:val="0"/>
          <w:marRight w:val="0"/>
          <w:marTop w:val="0"/>
          <w:marBottom w:val="0"/>
          <w:divBdr>
            <w:top w:val="none" w:sz="0" w:space="0" w:color="auto"/>
            <w:left w:val="none" w:sz="0" w:space="0" w:color="auto"/>
            <w:bottom w:val="none" w:sz="0" w:space="0" w:color="auto"/>
            <w:right w:val="none" w:sz="0" w:space="0" w:color="auto"/>
          </w:divBdr>
          <w:divsChild>
            <w:div w:id="584341008">
              <w:marLeft w:val="0"/>
              <w:marRight w:val="0"/>
              <w:marTop w:val="0"/>
              <w:marBottom w:val="0"/>
              <w:divBdr>
                <w:top w:val="none" w:sz="0" w:space="0" w:color="auto"/>
                <w:left w:val="none" w:sz="0" w:space="0" w:color="auto"/>
                <w:bottom w:val="none" w:sz="0" w:space="0" w:color="auto"/>
                <w:right w:val="none" w:sz="0" w:space="0" w:color="auto"/>
              </w:divBdr>
              <w:divsChild>
                <w:div w:id="1844661231">
                  <w:marLeft w:val="0"/>
                  <w:marRight w:val="0"/>
                  <w:marTop w:val="0"/>
                  <w:marBottom w:val="0"/>
                  <w:divBdr>
                    <w:top w:val="none" w:sz="0" w:space="0" w:color="auto"/>
                    <w:left w:val="none" w:sz="0" w:space="0" w:color="auto"/>
                    <w:bottom w:val="none" w:sz="0" w:space="0" w:color="auto"/>
                    <w:right w:val="none" w:sz="0" w:space="0" w:color="auto"/>
                  </w:divBdr>
                  <w:divsChild>
                    <w:div w:id="425537182">
                      <w:marLeft w:val="0"/>
                      <w:marRight w:val="0"/>
                      <w:marTop w:val="0"/>
                      <w:marBottom w:val="0"/>
                      <w:divBdr>
                        <w:top w:val="none" w:sz="0" w:space="0" w:color="auto"/>
                        <w:left w:val="none" w:sz="0" w:space="0" w:color="auto"/>
                        <w:bottom w:val="none" w:sz="0" w:space="0" w:color="auto"/>
                        <w:right w:val="none" w:sz="0" w:space="0" w:color="auto"/>
                      </w:divBdr>
                      <w:divsChild>
                        <w:div w:id="515921748">
                          <w:marLeft w:val="0"/>
                          <w:marRight w:val="180"/>
                          <w:marTop w:val="0"/>
                          <w:marBottom w:val="0"/>
                          <w:divBdr>
                            <w:top w:val="none" w:sz="0" w:space="0" w:color="auto"/>
                            <w:left w:val="none" w:sz="0" w:space="0" w:color="auto"/>
                            <w:bottom w:val="none" w:sz="0" w:space="0" w:color="auto"/>
                            <w:right w:val="none" w:sz="0" w:space="0" w:color="auto"/>
                          </w:divBdr>
                        </w:div>
                        <w:div w:id="211965267">
                          <w:marLeft w:val="0"/>
                          <w:marRight w:val="-450"/>
                          <w:marTop w:val="0"/>
                          <w:marBottom w:val="0"/>
                          <w:divBdr>
                            <w:top w:val="none" w:sz="0" w:space="0" w:color="auto"/>
                            <w:left w:val="none" w:sz="0" w:space="0" w:color="auto"/>
                            <w:bottom w:val="none" w:sz="0" w:space="0" w:color="auto"/>
                            <w:right w:val="none" w:sz="0" w:space="0" w:color="auto"/>
                          </w:divBdr>
                          <w:divsChild>
                            <w:div w:id="476217190">
                              <w:marLeft w:val="0"/>
                              <w:marRight w:val="0"/>
                              <w:marTop w:val="0"/>
                              <w:marBottom w:val="0"/>
                              <w:divBdr>
                                <w:top w:val="none" w:sz="0" w:space="0" w:color="auto"/>
                                <w:left w:val="none" w:sz="0" w:space="0" w:color="auto"/>
                                <w:bottom w:val="none" w:sz="0" w:space="0" w:color="auto"/>
                                <w:right w:val="none" w:sz="0" w:space="0" w:color="auto"/>
                              </w:divBdr>
                            </w:div>
                          </w:divsChild>
                        </w:div>
                        <w:div w:id="865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198">
              <w:marLeft w:val="0"/>
              <w:marRight w:val="0"/>
              <w:marTop w:val="0"/>
              <w:marBottom w:val="0"/>
              <w:divBdr>
                <w:top w:val="none" w:sz="0" w:space="0" w:color="auto"/>
                <w:left w:val="none" w:sz="0" w:space="0" w:color="auto"/>
                <w:bottom w:val="none" w:sz="0" w:space="0" w:color="auto"/>
                <w:right w:val="none" w:sz="0" w:space="0" w:color="auto"/>
              </w:divBdr>
              <w:divsChild>
                <w:div w:id="564070765">
                  <w:marLeft w:val="0"/>
                  <w:marRight w:val="0"/>
                  <w:marTop w:val="0"/>
                  <w:marBottom w:val="0"/>
                  <w:divBdr>
                    <w:top w:val="none" w:sz="0" w:space="0" w:color="auto"/>
                    <w:left w:val="none" w:sz="0" w:space="0" w:color="auto"/>
                    <w:bottom w:val="none" w:sz="0" w:space="0" w:color="auto"/>
                    <w:right w:val="none" w:sz="0" w:space="0" w:color="auto"/>
                  </w:divBdr>
                  <w:divsChild>
                    <w:div w:id="1007637701">
                      <w:marLeft w:val="0"/>
                      <w:marRight w:val="0"/>
                      <w:marTop w:val="0"/>
                      <w:marBottom w:val="0"/>
                      <w:divBdr>
                        <w:top w:val="none" w:sz="0" w:space="0" w:color="auto"/>
                        <w:left w:val="none" w:sz="0" w:space="0" w:color="auto"/>
                        <w:bottom w:val="none" w:sz="0" w:space="0" w:color="auto"/>
                        <w:right w:val="none" w:sz="0" w:space="0" w:color="auto"/>
                      </w:divBdr>
                      <w:divsChild>
                        <w:div w:id="1963997773">
                          <w:marLeft w:val="0"/>
                          <w:marRight w:val="0"/>
                          <w:marTop w:val="0"/>
                          <w:marBottom w:val="0"/>
                          <w:divBdr>
                            <w:top w:val="none" w:sz="0" w:space="0" w:color="auto"/>
                            <w:left w:val="none" w:sz="0" w:space="0" w:color="auto"/>
                            <w:bottom w:val="none" w:sz="0" w:space="0" w:color="auto"/>
                            <w:right w:val="none" w:sz="0" w:space="0" w:color="auto"/>
                          </w:divBdr>
                          <w:divsChild>
                            <w:div w:id="1220440148">
                              <w:marLeft w:val="0"/>
                              <w:marRight w:val="0"/>
                              <w:marTop w:val="0"/>
                              <w:marBottom w:val="0"/>
                              <w:divBdr>
                                <w:top w:val="none" w:sz="0" w:space="0" w:color="auto"/>
                                <w:left w:val="none" w:sz="0" w:space="0" w:color="auto"/>
                                <w:bottom w:val="none" w:sz="0" w:space="0" w:color="auto"/>
                                <w:right w:val="none" w:sz="0" w:space="0" w:color="auto"/>
                              </w:divBdr>
                              <w:divsChild>
                                <w:div w:id="128328758">
                                  <w:marLeft w:val="0"/>
                                  <w:marRight w:val="0"/>
                                  <w:marTop w:val="0"/>
                                  <w:marBottom w:val="0"/>
                                  <w:divBdr>
                                    <w:top w:val="none" w:sz="0" w:space="0" w:color="auto"/>
                                    <w:left w:val="none" w:sz="0" w:space="0" w:color="auto"/>
                                    <w:bottom w:val="none" w:sz="0" w:space="0" w:color="auto"/>
                                    <w:right w:val="none" w:sz="0" w:space="0" w:color="auto"/>
                                  </w:divBdr>
                                  <w:divsChild>
                                    <w:div w:id="739254912">
                                      <w:marLeft w:val="0"/>
                                      <w:marRight w:val="0"/>
                                      <w:marTop w:val="0"/>
                                      <w:marBottom w:val="0"/>
                                      <w:divBdr>
                                        <w:top w:val="none" w:sz="0" w:space="0" w:color="auto"/>
                                        <w:left w:val="none" w:sz="0" w:space="0" w:color="auto"/>
                                        <w:bottom w:val="none" w:sz="0" w:space="0" w:color="auto"/>
                                        <w:right w:val="none" w:sz="0" w:space="0" w:color="auto"/>
                                      </w:divBdr>
                                      <w:divsChild>
                                        <w:div w:id="13982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081563">
                      <w:marLeft w:val="0"/>
                      <w:marRight w:val="0"/>
                      <w:marTop w:val="0"/>
                      <w:marBottom w:val="0"/>
                      <w:divBdr>
                        <w:top w:val="none" w:sz="0" w:space="0" w:color="auto"/>
                        <w:left w:val="none" w:sz="0" w:space="0" w:color="auto"/>
                        <w:bottom w:val="none" w:sz="0" w:space="0" w:color="auto"/>
                        <w:right w:val="none" w:sz="0" w:space="0" w:color="auto"/>
                      </w:divBdr>
                      <w:divsChild>
                        <w:div w:id="491602893">
                          <w:marLeft w:val="0"/>
                          <w:marRight w:val="0"/>
                          <w:marTop w:val="0"/>
                          <w:marBottom w:val="0"/>
                          <w:divBdr>
                            <w:top w:val="none" w:sz="0" w:space="0" w:color="auto"/>
                            <w:left w:val="none" w:sz="0" w:space="0" w:color="auto"/>
                            <w:bottom w:val="none" w:sz="0" w:space="0" w:color="auto"/>
                            <w:right w:val="none" w:sz="0" w:space="0" w:color="auto"/>
                          </w:divBdr>
                          <w:divsChild>
                            <w:div w:id="757945955">
                              <w:blockQuote w:val="1"/>
                              <w:marLeft w:val="0"/>
                              <w:marRight w:val="0"/>
                              <w:marTop w:val="600"/>
                              <w:marBottom w:val="0"/>
                              <w:divBdr>
                                <w:top w:val="none" w:sz="0" w:space="0" w:color="auto"/>
                                <w:left w:val="none" w:sz="0" w:space="0" w:color="auto"/>
                                <w:bottom w:val="none" w:sz="0" w:space="0" w:color="auto"/>
                                <w:right w:val="none" w:sz="0" w:space="0" w:color="auto"/>
                              </w:divBdr>
                            </w:div>
                            <w:div w:id="1585917035">
                              <w:blockQuote w:val="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993017882">
                      <w:marLeft w:val="0"/>
                      <w:marRight w:val="0"/>
                      <w:marTop w:val="0"/>
                      <w:marBottom w:val="0"/>
                      <w:divBdr>
                        <w:top w:val="single" w:sz="24" w:space="0" w:color="D3D3DF"/>
                        <w:left w:val="none" w:sz="0" w:space="0" w:color="auto"/>
                        <w:bottom w:val="none" w:sz="0" w:space="0" w:color="auto"/>
                        <w:right w:val="none" w:sz="0" w:space="0" w:color="auto"/>
                      </w:divBdr>
                    </w:div>
                  </w:divsChild>
                </w:div>
              </w:divsChild>
            </w:div>
            <w:div w:id="1415324565">
              <w:marLeft w:val="0"/>
              <w:marRight w:val="0"/>
              <w:marTop w:val="0"/>
              <w:marBottom w:val="0"/>
              <w:divBdr>
                <w:top w:val="none" w:sz="0" w:space="0" w:color="auto"/>
                <w:left w:val="none" w:sz="0" w:space="0" w:color="auto"/>
                <w:bottom w:val="none" w:sz="0" w:space="0" w:color="auto"/>
                <w:right w:val="none" w:sz="0" w:space="0" w:color="auto"/>
              </w:divBdr>
              <w:divsChild>
                <w:div w:id="636182737">
                  <w:marLeft w:val="0"/>
                  <w:marRight w:val="0"/>
                  <w:marTop w:val="0"/>
                  <w:marBottom w:val="0"/>
                  <w:divBdr>
                    <w:top w:val="none" w:sz="0" w:space="0" w:color="auto"/>
                    <w:left w:val="none" w:sz="0" w:space="0" w:color="auto"/>
                    <w:bottom w:val="none" w:sz="0" w:space="0" w:color="auto"/>
                    <w:right w:val="none" w:sz="0" w:space="0" w:color="auto"/>
                  </w:divBdr>
                  <w:divsChild>
                    <w:div w:id="1880243312">
                      <w:marLeft w:val="0"/>
                      <w:marRight w:val="0"/>
                      <w:marTop w:val="0"/>
                      <w:marBottom w:val="0"/>
                      <w:divBdr>
                        <w:top w:val="none" w:sz="0" w:space="0" w:color="auto"/>
                        <w:left w:val="none" w:sz="0" w:space="0" w:color="auto"/>
                        <w:bottom w:val="none" w:sz="0" w:space="0" w:color="auto"/>
                        <w:right w:val="none" w:sz="0" w:space="0" w:color="auto"/>
                      </w:divBdr>
                      <w:divsChild>
                        <w:div w:id="1172597829">
                          <w:marLeft w:val="0"/>
                          <w:marRight w:val="0"/>
                          <w:marTop w:val="0"/>
                          <w:marBottom w:val="0"/>
                          <w:divBdr>
                            <w:top w:val="none" w:sz="0" w:space="0" w:color="auto"/>
                            <w:left w:val="none" w:sz="0" w:space="0" w:color="auto"/>
                            <w:bottom w:val="none" w:sz="0" w:space="0" w:color="auto"/>
                            <w:right w:val="none" w:sz="0" w:space="0" w:color="auto"/>
                          </w:divBdr>
                          <w:divsChild>
                            <w:div w:id="343751122">
                              <w:marLeft w:val="0"/>
                              <w:marRight w:val="0"/>
                              <w:marTop w:val="0"/>
                              <w:marBottom w:val="0"/>
                              <w:divBdr>
                                <w:top w:val="none" w:sz="0" w:space="0" w:color="auto"/>
                                <w:left w:val="none" w:sz="0" w:space="0" w:color="auto"/>
                                <w:bottom w:val="none" w:sz="0" w:space="0" w:color="auto"/>
                                <w:right w:val="none" w:sz="0" w:space="0" w:color="auto"/>
                              </w:divBdr>
                              <w:divsChild>
                                <w:div w:id="2004621611">
                                  <w:marLeft w:val="0"/>
                                  <w:marRight w:val="0"/>
                                  <w:marTop w:val="0"/>
                                  <w:marBottom w:val="0"/>
                                  <w:divBdr>
                                    <w:top w:val="none" w:sz="0" w:space="0" w:color="auto"/>
                                    <w:left w:val="none" w:sz="0" w:space="0" w:color="auto"/>
                                    <w:bottom w:val="none" w:sz="0" w:space="0" w:color="auto"/>
                                    <w:right w:val="none" w:sz="0" w:space="0" w:color="auto"/>
                                  </w:divBdr>
                                  <w:divsChild>
                                    <w:div w:id="1783526869">
                                      <w:marLeft w:val="0"/>
                                      <w:marRight w:val="0"/>
                                      <w:marTop w:val="0"/>
                                      <w:marBottom w:val="480"/>
                                      <w:divBdr>
                                        <w:top w:val="none" w:sz="0" w:space="0" w:color="auto"/>
                                        <w:left w:val="none" w:sz="0" w:space="0" w:color="auto"/>
                                        <w:bottom w:val="none" w:sz="0" w:space="0" w:color="auto"/>
                                        <w:right w:val="none" w:sz="0" w:space="0" w:color="auto"/>
                                      </w:divBdr>
                                      <w:divsChild>
                                        <w:div w:id="1954434173">
                                          <w:marLeft w:val="0"/>
                                          <w:marRight w:val="0"/>
                                          <w:marTop w:val="0"/>
                                          <w:marBottom w:val="0"/>
                                          <w:divBdr>
                                            <w:top w:val="none" w:sz="0" w:space="0" w:color="auto"/>
                                            <w:left w:val="none" w:sz="0" w:space="0" w:color="auto"/>
                                            <w:bottom w:val="none" w:sz="0" w:space="0" w:color="auto"/>
                                            <w:right w:val="none" w:sz="0" w:space="0" w:color="auto"/>
                                          </w:divBdr>
                                        </w:div>
                                      </w:divsChild>
                                    </w:div>
                                    <w:div w:id="1630432537">
                                      <w:marLeft w:val="0"/>
                                      <w:marRight w:val="0"/>
                                      <w:marTop w:val="0"/>
                                      <w:marBottom w:val="480"/>
                                      <w:divBdr>
                                        <w:top w:val="none" w:sz="0" w:space="0" w:color="auto"/>
                                        <w:left w:val="none" w:sz="0" w:space="0" w:color="auto"/>
                                        <w:bottom w:val="none" w:sz="0" w:space="0" w:color="auto"/>
                                        <w:right w:val="none" w:sz="0" w:space="0" w:color="auto"/>
                                      </w:divBdr>
                                      <w:divsChild>
                                        <w:div w:id="26608835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8377687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eamshipmutual.com/publications/articles/articles/frontcommander1205"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Thenamaris (Ships Management) Inc.</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Vangelis Kounoupas</dc:creator>
  <cp:keywords/>
  <dc:description/>
  <cp:lastModifiedBy>Vangelis Kounoupas</cp:lastModifiedBy>
  <cp:revision>2</cp:revision>
  <dcterms:created xsi:type="dcterms:W3CDTF">2022-09-05T10:37:00Z</dcterms:created>
  <dcterms:modified xsi:type="dcterms:W3CDTF">2024-06-14T09:17:00Z</dcterms:modified>
</cp:coreProperties>
</file>