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>CONTAINERS</w:t>
      </w: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4514850"/>
            <wp:effectExtent l="0" t="0" r="11430" b="1143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495800" cy="3105150"/>
            <wp:effectExtent l="0" t="0" r="0" b="381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572500" cy="5715000"/>
            <wp:effectExtent l="0" t="0" r="7620" b="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           </w:t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71725" cy="5648325"/>
            <wp:effectExtent l="0" t="0" r="5715" b="571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drawing>
          <wp:inline distT="0" distB="0" distL="114300" distR="114300">
            <wp:extent cx="5273040" cy="3996055"/>
            <wp:effectExtent l="0" t="0" r="0" b="12065"/>
            <wp:docPr id="2" name="Picture 2" descr="Anatomy-of-shipping-container-parts-2[1937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atomy-of-shipping-container-parts-2[19370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  <w:t>ANATOMY OF A CONTAINER PARTS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8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  <w:b/>
          <w:bCs/>
          <w:i/>
          <w:iCs/>
          <w:sz w:val="40"/>
          <w:szCs w:val="40"/>
          <w:u w:val="single"/>
          <w:lang w:val="en-US"/>
        </w:rPr>
        <w:t>F</w:t>
      </w:r>
      <w:r>
        <w:rPr>
          <w:rFonts w:hint="default" w:ascii="Arial" w:hAnsi="Arial" w:cs="Arial"/>
          <w:b/>
          <w:bCs/>
          <w:i/>
          <w:iCs/>
          <w:sz w:val="40"/>
          <w:szCs w:val="40"/>
          <w:u w:val="single"/>
        </w:rPr>
        <w:t>lat rack container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9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OPEN TOP CONTAINER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10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eastAsia="SimSun-ExtB" w:cs="Arial"/>
          <w:i/>
          <w:iCs/>
          <w:sz w:val="40"/>
          <w:szCs w:val="40"/>
          <w:u w:val="single"/>
        </w:rPr>
      </w:pPr>
      <w:r>
        <w:rPr>
          <w:rFonts w:hint="default" w:ascii="Arial" w:hAnsi="Arial" w:eastAsia="SimSun-ExtB" w:cs="Arial"/>
          <w:b/>
          <w:bCs/>
          <w:i/>
          <w:iCs/>
          <w:sz w:val="40"/>
          <w:szCs w:val="40"/>
          <w:u w:val="single"/>
        </w:rPr>
        <w:t xml:space="preserve">ISO tank container 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1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cs="Arial"/>
          <w:i/>
          <w:iCs/>
          <w:sz w:val="36"/>
          <w:szCs w:val="36"/>
          <w:u w:val="single"/>
        </w:rPr>
      </w:pPr>
      <w:r>
        <w:rPr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R</w:t>
      </w:r>
      <w:r>
        <w:rPr>
          <w:rFonts w:hint="default" w:ascii="Arial" w:hAnsi="Arial" w:cs="Arial"/>
          <w:b/>
          <w:bCs/>
          <w:i/>
          <w:iCs/>
          <w:sz w:val="36"/>
          <w:szCs w:val="36"/>
          <w:u w:val="single"/>
        </w:rPr>
        <w:t>efrigerated container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96000" cy="3810000"/>
            <wp:effectExtent l="0" t="0" r="0" b="0"/>
            <wp:docPr id="1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114550"/>
            <wp:effectExtent l="0" t="0" r="11430" b="3810"/>
            <wp:docPr id="13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CONTAINER SPREADER</w:t>
      </w: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3429000"/>
            <wp:effectExtent l="0" t="0" r="0" b="0"/>
            <wp:docPr id="14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  <w:t>Telescopic Spreader</w:t>
      </w: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05200" cy="2124075"/>
            <wp:effectExtent l="0" t="0" r="0" b="9525"/>
            <wp:docPr id="15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Twist Lock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30000" cy="6000750"/>
            <wp:effectExtent l="0" t="0" r="0" b="3810"/>
            <wp:docPr id="16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  <w:t xml:space="preserve"> External Lashing</w:t>
      </w: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428875"/>
            <wp:effectExtent l="0" t="0" r="11430" b="9525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381375"/>
            <wp:effectExtent l="0" t="0" r="11430" b="1905"/>
            <wp:docPr id="17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381375"/>
            <wp:effectExtent l="0" t="0" r="11430" b="1905"/>
            <wp:docPr id="19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Improper Lashing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2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20475" cy="8058150"/>
            <wp:effectExtent l="0" t="0" r="9525" b="3810"/>
            <wp:docPr id="2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204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“RENA” Grounding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1250" cy="3752850"/>
            <wp:effectExtent l="0" t="0" r="11430" b="11430"/>
            <wp:docPr id="2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rPr>
          <w:rFonts w:hint="default"/>
          <w:lang w:val="en-US"/>
        </w:rPr>
      </w:pP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“</w:t>
      </w: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</w:rPr>
        <w:t>HMM Oslo</w:t>
      </w: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”</w:t>
      </w:r>
    </w:p>
    <w:p>
      <w:pPr>
        <w:rPr>
          <w:rFonts w:hint="default" w:ascii="Arial" w:hAnsi="Arial" w:eastAsia="SimSun" w:cs="Arial"/>
          <w:sz w:val="24"/>
          <w:szCs w:val="24"/>
          <w:lang w:val="en-US"/>
        </w:rPr>
      </w:pPr>
      <w:r>
        <w:rPr>
          <w:rFonts w:hint="default" w:ascii="Arial" w:hAnsi="Arial" w:eastAsia="SimSun" w:cs="Arial"/>
          <w:sz w:val="24"/>
          <w:szCs w:val="24"/>
        </w:rPr>
        <w:t xml:space="preserve">400 meters long and 61.50 meters wide with a maximum draft of 16.50m. </w:t>
      </w:r>
      <w:r>
        <w:rPr>
          <w:rFonts w:hint="default" w:ascii="Arial" w:hAnsi="Arial" w:eastAsia="SimSun" w:cs="Arial"/>
          <w:sz w:val="24"/>
          <w:szCs w:val="24"/>
          <w:lang w:val="en-US"/>
        </w:rPr>
        <w:t>“</w:t>
      </w:r>
      <w:r>
        <w:rPr>
          <w:rFonts w:hint="default" w:ascii="Arial" w:hAnsi="Arial" w:eastAsia="SimSun" w:cs="Arial"/>
          <w:sz w:val="24"/>
          <w:szCs w:val="24"/>
        </w:rPr>
        <w:t>HMM Oslo</w:t>
      </w:r>
      <w:r>
        <w:rPr>
          <w:rFonts w:hint="default" w:ascii="Arial" w:hAnsi="Arial" w:eastAsia="SimSun" w:cs="Arial"/>
          <w:sz w:val="24"/>
          <w:szCs w:val="24"/>
          <w:lang w:val="en-US"/>
        </w:rPr>
        <w:t>”</w:t>
      </w:r>
      <w:r>
        <w:rPr>
          <w:rFonts w:hint="default" w:ascii="Arial" w:hAnsi="Arial" w:eastAsia="SimSun" w:cs="Arial"/>
          <w:sz w:val="24"/>
          <w:szCs w:val="24"/>
        </w:rPr>
        <w:t xml:space="preserve"> has carrying capacity of 23,792 TEU, only 172 TEU less than </w:t>
      </w:r>
      <w:r>
        <w:rPr>
          <w:rFonts w:hint="default" w:ascii="Arial" w:hAnsi="Arial" w:eastAsia="SimSun" w:cs="Arial"/>
          <w:sz w:val="24"/>
          <w:szCs w:val="24"/>
          <w:lang w:val="en-US"/>
        </w:rPr>
        <w:t>“</w:t>
      </w:r>
      <w:r>
        <w:rPr>
          <w:rFonts w:hint="default" w:ascii="Arial" w:hAnsi="Arial" w:eastAsia="SimSun" w:cs="Arial"/>
          <w:sz w:val="24"/>
          <w:szCs w:val="24"/>
        </w:rPr>
        <w:t>HMM Algeciras</w:t>
      </w:r>
      <w:r>
        <w:rPr>
          <w:rFonts w:hint="default" w:ascii="Arial" w:hAnsi="Arial" w:eastAsia="SimSun" w:cs="Arial"/>
          <w:sz w:val="24"/>
          <w:szCs w:val="24"/>
          <w:lang w:val="en-US"/>
        </w:rPr>
        <w:t>”</w:t>
      </w:r>
      <w:r>
        <w:rPr>
          <w:rFonts w:hint="default" w:ascii="Arial" w:hAnsi="Arial" w:eastAsia="SimSun" w:cs="Arial"/>
          <w:sz w:val="24"/>
          <w:szCs w:val="24"/>
        </w:rPr>
        <w:t>, which is the largest ship in the world</w:t>
      </w:r>
      <w:r>
        <w:rPr>
          <w:rFonts w:hint="default" w:ascii="Arial" w:hAnsi="Arial" w:eastAsia="SimSun" w:cs="Arial"/>
          <w:sz w:val="24"/>
          <w:szCs w:val="24"/>
          <w:lang w:val="en-US"/>
        </w:rPr>
        <w:t xml:space="preserve"> (2020)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505575" cy="4333875"/>
            <wp:effectExtent l="0" t="0" r="1905" b="9525"/>
            <wp:docPr id="22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default"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hint="default" w:ascii="Arial" w:hAnsi="Arial" w:cs="Arial"/>
          <w:b/>
          <w:bCs/>
          <w:i/>
          <w:iCs/>
          <w:sz w:val="32"/>
          <w:szCs w:val="32"/>
          <w:u w:val="single"/>
        </w:rPr>
        <w:t>CMA CGM Jacques Saadé</w:t>
      </w:r>
    </w:p>
    <w:p>
      <w:pPr>
        <w:pStyle w:val="6"/>
        <w:keepNext w:val="0"/>
        <w:keepLines w:val="0"/>
        <w:widowControl/>
        <w:suppressLineNumbers w:val="0"/>
      </w:pPr>
      <w:r>
        <w:rPr>
          <w:rFonts w:hint="default"/>
          <w:lang w:val="en-US"/>
        </w:rPr>
        <w:t>O</w:t>
      </w:r>
      <w:r>
        <w:t>ne of the world’s largest containership powered by liquefied natural gas (LNG).</w:t>
      </w:r>
      <w:r>
        <w:rPr>
          <w:rFonts w:hint="default"/>
          <w:lang w:val="en-US"/>
        </w:rPr>
        <w:t>C</w:t>
      </w:r>
      <w:r>
        <w:t>apacity of 23,000 TEU</w:t>
      </w:r>
      <w:r>
        <w:rPr>
          <w:rFonts w:hint="default"/>
          <w:lang w:val="en-US"/>
        </w:rPr>
        <w:t>,</w:t>
      </w:r>
      <w:r>
        <w:t xml:space="preserve"> 400 meters in length with 61-meter beam and height of 78 meters.</w:t>
      </w:r>
    </w:p>
    <w:p>
      <w:pPr>
        <w:pStyle w:val="6"/>
        <w:keepNext w:val="0"/>
        <w:keepLines w:val="0"/>
        <w:widowControl/>
        <w:suppressLineNumbers w:val="0"/>
      </w:pPr>
      <w:bookmarkStart w:id="0" w:name="_GoBack"/>
      <w:bookmarkEnd w:id="0"/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1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009900"/>
            <wp:effectExtent l="0" t="0" r="11430" b="7620"/>
            <wp:docPr id="2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C426CB"/>
    <w:rsid w:val="4409586F"/>
    <w:rsid w:val="5EFA728A"/>
    <w:rsid w:val="61411478"/>
    <w:rsid w:val="66746855"/>
    <w:rsid w:val="6DD3739C"/>
    <w:rsid w:val="74C426CB"/>
    <w:rsid w:val="7C35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87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2021-03-13T08:21:00Z</dcterms:created>
  <dc:creator>Nikolaos Pentheroudakis</dc:creator>
  <cp:lastModifiedBy>Nikolaos Pentheroudakis</cp:lastModifiedBy>
  <dcterms:modified xsi:type="dcterms:W3CDTF">2021-04-24T09:15:37Z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